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0"/>
        <w:jc w:val="center"/>
        <w:rPr>
          <w:sz w:val="24"/>
          <w:szCs w:val="24"/>
        </w:rPr>
      </w:pPr>
      <w:r>
        <w:rPr>
          <w:sz w:val="24"/>
          <w:szCs w:val="24"/>
        </w:rPr>
        <w:t xml:space="preserve">Онлайн-сервис «Точка 100»</w:t>
      </w:r>
    </w:p>
    <w:p>
      <w:pPr>
        <w:pStyle w:val="Title"/>
      </w:pPr>
      <w:r>
        <w:t xml:space="preserve">Пользовательское соглашение</w:t>
      </w:r>
    </w:p>
    <w:p>
      <w:pPr>
        <w:spacing w:after="0"/>
        <w:jc w:val="center"/>
        <w:rPr>
          <w:sz w:val="24"/>
          <w:szCs w:val="24"/>
        </w:rPr>
      </w:pPr>
      <w:r>
        <w:rPr>
          <w:b/>
          <w:bCs/>
          <w:sz w:val="24"/>
          <w:szCs w:val="24"/>
        </w:rPr>
        <w:t xml:space="preserve">Правила использования Сайта и Приложения, в том числе при Пробном доступе</w:t>
      </w:r>
    </w:p>
    <w:p>
      <w:pPr>
        <w:spacing w:before="120" w:after="0"/>
        <w:jc w:val="center"/>
        <w:rPr>
          <w:sz w:val="24"/>
          <w:szCs w:val="24"/>
        </w:rPr>
      </w:pPr>
      <w:r>
        <w:rPr>
          <w:sz w:val="24"/>
          <w:szCs w:val="24"/>
        </w:rPr>
        <w:t xml:space="preserve">Редакция от 25.10.2026</w:t>
      </w:r>
    </w:p>
    <w:p>
      <w:pPr>
        <w:spacing w:after="240"/>
        <w:jc w:val="center"/>
        <w:rPr>
          <w:sz w:val="24"/>
          <w:szCs w:val="24"/>
        </w:rPr>
      </w:pPr>
      <w:r>
        <w:rPr>
          <w:sz w:val="24"/>
          <w:szCs w:val="24"/>
        </w:rPr>
        <w:t xml:space="preserve">Документ размещён в разделе «Документы» Сайта.</w:t>
      </w:r>
    </w:p>
    <w:p>
      <w:pPr>
        <w:keepNext/>
        <w:spacing w:before="120" w:after="0"/>
        <w:jc w:val="left"/>
      </w:pPr>
      <w:r>
        <w:rPr>
          <w:b/>
          <w:bCs/>
        </w:rPr>
        <w:t xml:space="preserve">Содержание</w:t>
      </w:r>
    </w:p>
    <w:p>
      <w:pPr>
        <w:tabs>
          <w:tab w:val="left" w:pos="510"/>
        </w:tabs>
        <w:spacing w:after="0"/>
        <w:ind w:left="510" w:hanging="510"/>
        <w:jc w:val="both"/>
      </w:pPr>
      <w:r>
        <w:t xml:space="preserve">1.</w:t>
      </w:r>
      <w:r>
        <w:tab/>
      </w:r>
      <w:r>
        <w:t xml:space="preserve">Статус Соглашения и термины</w:t>
      </w:r>
    </w:p>
    <w:p>
      <w:pPr>
        <w:tabs>
          <w:tab w:val="left" w:pos="510"/>
        </w:tabs>
        <w:spacing w:after="0"/>
        <w:ind w:left="510" w:hanging="510"/>
        <w:jc w:val="both"/>
      </w:pPr>
      <w:r>
        <w:t xml:space="preserve">2.</w:t>
      </w:r>
      <w:r>
        <w:tab/>
      </w:r>
      <w:r>
        <w:t xml:space="preserve">Доступ к Сервису и Учётная запись</w:t>
      </w:r>
    </w:p>
    <w:p>
      <w:pPr>
        <w:tabs>
          <w:tab w:val="left" w:pos="510"/>
        </w:tabs>
        <w:spacing w:after="0"/>
        <w:ind w:left="510" w:hanging="510"/>
        <w:jc w:val="both"/>
      </w:pPr>
      <w:r>
        <w:t xml:space="preserve">3.</w:t>
      </w:r>
      <w:r>
        <w:tab/>
      </w:r>
      <w:r>
        <w:t xml:space="preserve">Допустимое использование</w:t>
      </w:r>
    </w:p>
    <w:p>
      <w:pPr>
        <w:tabs>
          <w:tab w:val="left" w:pos="510"/>
        </w:tabs>
        <w:spacing w:after="0"/>
        <w:ind w:left="510" w:hanging="510"/>
        <w:jc w:val="both"/>
      </w:pPr>
      <w:r>
        <w:t xml:space="preserve">4.</w:t>
      </w:r>
      <w:r>
        <w:tab/>
      </w:r>
      <w:r>
        <w:t xml:space="preserve">Запреты</w:t>
      </w:r>
    </w:p>
    <w:p>
      <w:pPr>
        <w:tabs>
          <w:tab w:val="left" w:pos="510"/>
        </w:tabs>
        <w:spacing w:after="0"/>
        <w:ind w:left="510" w:hanging="510"/>
        <w:jc w:val="both"/>
      </w:pPr>
      <w:r>
        <w:t xml:space="preserve">5.</w:t>
      </w:r>
      <w:r>
        <w:tab/>
      </w:r>
      <w:r>
        <w:t xml:space="preserve">Учебные данные и Резервные копии</w:t>
      </w:r>
    </w:p>
    <w:p>
      <w:pPr>
        <w:tabs>
          <w:tab w:val="left" w:pos="510"/>
        </w:tabs>
        <w:spacing w:after="0"/>
        <w:ind w:left="510" w:hanging="510"/>
        <w:jc w:val="both"/>
      </w:pPr>
      <w:r>
        <w:t xml:space="preserve">6.</w:t>
      </w:r>
      <w:r>
        <w:tab/>
      </w:r>
      <w:r>
        <w:t xml:space="preserve">Контент, интеллектуальная собственность и заявления правообладателей</w:t>
      </w:r>
    </w:p>
    <w:p>
      <w:pPr>
        <w:tabs>
          <w:tab w:val="left" w:pos="510"/>
        </w:tabs>
        <w:spacing w:after="0"/>
        <w:ind w:left="510" w:hanging="510"/>
        <w:jc w:val="both"/>
      </w:pPr>
      <w:r>
        <w:t xml:space="preserve">7.</w:t>
      </w:r>
      <w:r>
        <w:tab/>
      </w:r>
      <w:r>
        <w:t xml:space="preserve">Ссылки на внешние ресурсы</w:t>
      </w:r>
    </w:p>
    <w:p>
      <w:pPr>
        <w:tabs>
          <w:tab w:val="left" w:pos="510"/>
        </w:tabs>
        <w:spacing w:after="0"/>
        <w:ind w:left="510" w:hanging="510"/>
        <w:jc w:val="both"/>
      </w:pPr>
      <w:r>
        <w:t xml:space="preserve">8.</w:t>
      </w:r>
      <w:r>
        <w:tab/>
      </w:r>
      <w:r>
        <w:t xml:space="preserve">Ограничение ответственности</w:t>
      </w:r>
    </w:p>
    <w:p>
      <w:pPr>
        <w:tabs>
          <w:tab w:val="left" w:pos="510"/>
        </w:tabs>
        <w:spacing w:after="0"/>
        <w:ind w:left="510" w:hanging="510"/>
        <w:jc w:val="both"/>
      </w:pPr>
      <w:r>
        <w:t xml:space="preserve">9.</w:t>
      </w:r>
      <w:r>
        <w:tab/>
      </w:r>
      <w:r>
        <w:t xml:space="preserve">Изменение Соглашения</w:t>
      </w:r>
    </w:p>
    <w:p>
      <w:pPr>
        <w:tabs>
          <w:tab w:val="left" w:pos="510"/>
        </w:tabs>
        <w:spacing w:after="0"/>
        <w:ind w:left="510" w:hanging="510"/>
        <w:jc w:val="both"/>
      </w:pPr>
      <w:r>
        <w:t xml:space="preserve">10.</w:t>
      </w:r>
      <w:r>
        <w:tab/>
      </w:r>
      <w:r>
        <w:t xml:space="preserve">Контакты и обращения</w:t>
      </w:r>
    </w:p>
    <w:p>
      <w:pPr>
        <w:tabs>
          <w:tab w:val="left" w:pos="510"/>
        </w:tabs>
        <w:spacing w:after="0"/>
        <w:ind w:left="510" w:hanging="510"/>
        <w:jc w:val="both"/>
      </w:pPr>
      <w:r>
        <w:t xml:space="preserve">11.</w:t>
      </w:r>
      <w:r>
        <w:tab/>
      </w:r>
      <w:r>
        <w:t xml:space="preserve">Реквизиты Оператора</w:t>
      </w:r>
    </w:p>
    <w:p>
      <w:pPr>
        <w:pStyle w:val="Heading2"/>
      </w:pPr>
      <w:r>
        <w:t xml:space="preserve">1. Статус Соглашения и термины</w:t>
      </w:r>
    </w:p>
    <w:p>
      <w:r>
        <w:t xml:space="preserve">1.1. </w:t>
      </w:r>
      <w:r>
        <w:t xml:space="preserve">Настоящее Пользовательское соглашение (далее — Соглашение) определяет правила использования сайта (далее — Сайт) и размещённого на нём веб-приложения (далее — Приложение) онлайн-сервиса «Точка 100» (далее — Сервис), правообладателем которого является Кульбачный Дмитрий Максимович, ИНН 781460245682, плательщик налога на профессиональный доход (далее — Оператор).</w:t>
      </w:r>
    </w:p>
    <w:p>
      <w:r>
        <w:t xml:space="preserve">1.2. </w:t>
      </w:r>
      <w:r>
        <w:t xml:space="preserve">Соглашение распространяется на всех посетителей Сайта и пользователей Приложения, включая лиц с Пробным доступом и лиц с оплаченным доступом. Соглашение является безвозмездным договором присоединения (статья 428 Гражданского кодекса РФ, далее — ГК РФ).</w:t>
      </w:r>
    </w:p>
    <w:p>
      <w:r>
        <w:t xml:space="preserve">1.3. </w:t>
      </w:r>
      <w:r>
        <w:t xml:space="preserve">Использование Сайта означает согласие с Соглашением в части правил пользования Сайтом. Использование Приложения возможно только после явного принятия Соглашения при Первом входе в Учётную запись (отметка и кнопка </w:t>
      </w:r>
      <w:r>
        <w:rPr>
          <w:b/>
          <w:bCs/>
        </w:rPr>
        <w:t xml:space="preserve">«Принять и продолжить»</w:t>
      </w:r>
      <w:r>
        <w:t xml:space="preserve">). Лицо, не согласное с Соглашением, должно прекратить использование Сервиса.</w:t>
      </w:r>
    </w:p>
    <w:p>
      <w:r>
        <w:t xml:space="preserve">1.4. </w:t>
      </w:r>
      <w:r>
        <w:t xml:space="preserve">Условия платного доступа и Пробного доступа (лицензии), оплаты и возврата денежных средств определяются Публичной офертой (далее — Оферта). При противоречии между Соглашением и Офертой в отношении такого доступа применяется Оферта. Обработка персональных данных регулируется Политикой в отношении обработки персональных данных (далее — Политика), а в случаях, когда основанием обработки является согласие, — Согласием на обработку персональных данных (далее — Согласие).</w:t>
      </w:r>
    </w:p>
    <w:p>
      <w:r>
        <w:t xml:space="preserve">1.5. </w:t>
      </w:r>
      <w:r>
        <w:t xml:space="preserve">Термины «Учётная запись», «Почта ученика», «Почта для чека», «Код входа», «Служебный номер», «Пробный доступ», «Первый вход», «Тариф», «Срок доступа», «Устройство», «Идентификатор устройства», «Учебные данные», «Резервная копия», «Платёжный сервис», «Служба поддержки», «Материалы», «Задания ФИПИ», «Законный представитель», «Запись об акцепте», «Документы» и «Договор» используются в значениях, указанных в разделе 1 Оферты. </w:t>
      </w:r>
      <w:r>
        <w:rPr>
          <w:b/>
          <w:bCs/>
        </w:rPr>
        <w:t xml:space="preserve">Посетитель</w:t>
      </w:r>
      <w:r>
        <w:t xml:space="preserve"> — лицо, просматривающее Сайт без входа в Учётную запись. </w:t>
      </w:r>
      <w:r>
        <w:rPr>
          <w:b/>
          <w:bCs/>
        </w:rPr>
        <w:t xml:space="preserve">Пользователь</w:t>
      </w:r>
      <w:r>
        <w:t xml:space="preserve"> — Посетитель, а также лицо, использующее Приложение.</w:t>
      </w:r>
    </w:p>
    <w:p>
      <w:pPr>
        <w:pStyle w:val="Heading2"/>
      </w:pPr>
      <w:r>
        <w:t xml:space="preserve">2. Доступ к Сервису и Учётная запись</w:t>
      </w:r>
    </w:p>
    <w:p>
      <w:r>
        <w:t xml:space="preserve">2.1. </w:t>
      </w:r>
      <w:r>
        <w:t xml:space="preserve">Доступ к Приложению предоставляется через Учётную запись, привязанную к адресу электронной почты Пользователя (Почте ученика). Пароль не используется: чтобы войти на Устройстве, Пользователь указывает на Сайте Почту ученика и вводит Код входа — шесть цифр из письма, направленного на этот адрес; код действует 15 (пятнадцать) минут и только один раз. Вход сохраняется на Устройстве до выхода из Учётной записи, но не дольше 400 (четырёхсот) дней. Иные сведения о Пользователе (имя, телефон, документы) для доступа не требуются.</w:t>
      </w:r>
    </w:p>
    <w:p>
      <w:r>
        <w:t xml:space="preserve">2.2. </w:t>
      </w:r>
      <w:r>
        <w:t xml:space="preserve">Учётная запись создаётся при оплате доступа на Сайте через Платёжный сервис (порядок оплаты, продления и возврата — в разделах 4 и 10 Оферты), при получении Пробного доступа или при предоставлении Оператором доступа через Службу поддержки — на срок, указанный Оператором; оплата во время такого доступа прибавляется к его окончанию. Пробный доступ на 7 (семь) дней предоставляется безвозмездно: Пользователь указывает на Сайте адрес электронной почты и вводит Код входа. Пробный доступ предоставляется один раз на один адрес электронной почты и не предоставляется адресу, по которому ранее была произведена оплата; его функциональность ограничена, действующие ограничения показываются в Приложении.</w:t>
      </w:r>
    </w:p>
    <w:p>
      <w:r>
        <w:t xml:space="preserve">2.3. </w:t>
      </w:r>
      <w:r>
        <w:t xml:space="preserve">При Первом входе Пользователь знакомится с Документами, проставляет две отметки — </w:t>
      </w:r>
      <w:r>
        <w:rPr>
          <w:b/>
          <w:bCs/>
        </w:rPr>
        <w:t xml:space="preserve">«Я принимаю Публичную оферту и Пользовательское соглашение»</w:t>
      </w:r>
      <w:r>
        <w:t xml:space="preserve"> и </w:t>
      </w:r>
      <w:r>
        <w:rPr>
          <w:b/>
          <w:bCs/>
        </w:rPr>
        <w:t xml:space="preserve">«Мне исполнилось 18 лет либо я действую с согласия законного представителя»</w:t>
      </w:r>
      <w:r>
        <w:t xml:space="preserve"> — и нажимает </w:t>
      </w:r>
      <w:r>
        <w:rPr>
          <w:b/>
          <w:bCs/>
        </w:rPr>
        <w:t xml:space="preserve">«Принять и продолжить»</w:t>
      </w:r>
      <w:r>
        <w:t xml:space="preserve">. Оператор фиксирует Запись об акцепте.</w:t>
      </w:r>
    </w:p>
    <w:p>
      <w:r>
        <w:t xml:space="preserve">2.4. </w:t>
      </w:r>
      <w:r>
        <w:t xml:space="preserve">Учётная запись может быть одновременно привязана не более чем к двум Устройствам разного типа (компьютер, планшет, смартфон); пользоваться Приложением одновременно можно только на одном из них, а Учебные данные на них общие (раздел 5). Новое Устройство привязывается входом на нём по Коду входа. Привязку можно освободить, выйдя из Учётной записи на Устройстве; привязать новое Устройство вместо освобождённого или вместо привязанного Устройства того же типа можно не чаще одного раза в 30 (тридцать) дней, а при утрате или неисправности Устройства — по обращению в Службу поддержки без учёта этого срока.</w:t>
      </w:r>
    </w:p>
    <w:p>
      <w:r>
        <w:t xml:space="preserve">2.5. </w:t>
      </w:r>
      <w:r>
        <w:t xml:space="preserve">Несовершеннолетние:</w:t>
      </w:r>
    </w:p>
    <w:p>
      <w:r>
        <w:t xml:space="preserve">2.5.1. </w:t>
      </w:r>
      <w:r>
        <w:t xml:space="preserve">лицо в возрасте от 14 до 18 лет пользуется Приложением с согласия Законного представителя (статья 26 ГК РФ) и при Первом входе подтверждает это второй отметкой, указанной в пункте 2.3;</w:t>
      </w:r>
    </w:p>
    <w:p>
      <w:r>
        <w:t xml:space="preserve">2.5.2. </w:t>
      </w:r>
      <w:r>
        <w:t xml:space="preserve">лицо младше 14 лет пользуется Приложением только при условии, что Документы приняты его Законным представителем, который отвечает за соблюдение Соглашения таким лицом;</w:t>
      </w:r>
    </w:p>
    <w:p>
      <w:r>
        <w:t xml:space="preserve">2.5.3. </w:t>
      </w:r>
      <w:r>
        <w:t xml:space="preserve">Законный представитель вправе в любой момент обратиться к Оператору за сведениями об обработке персональных данных несовершеннолетнего и прекратить использование Сервиса несовершеннолетним.</w:t>
      </w:r>
    </w:p>
    <w:p>
      <w:r>
        <w:t xml:space="preserve">2.6. </w:t>
      </w:r>
      <w:r>
        <w:t xml:space="preserve">Без входа в Учётную запись доступны информационные страницы Сайта, описание Сервиса и Тарифов, а также Документы.</w:t>
      </w:r>
    </w:p>
    <w:p>
      <w:r>
        <w:t xml:space="preserve">2.7. </w:t>
      </w:r>
      <w:r>
        <w:t xml:space="preserve">Пользователь обеспечивает сохранность доступа к Почте ученика и не сообщает Коды входа другим лицам; передавать доступ к Учётной записи другим лицам запрещено. Об утрате доступа к Почте ученика или о входе в Учётную запись другого лица Пользователь сообщает в Службу поддержки: Оператор завершает вход на привязанных Устройствах и после подтверждения связи обратившегося лица с Учётной записью может привязать её к другому адресу электронной почты (пункты 5.7 и 5.8 Оферты).</w:t>
      </w:r>
    </w:p>
    <w:p>
      <w:r>
        <w:t xml:space="preserve">2.8. </w:t>
      </w:r>
      <w:r>
        <w:t xml:space="preserve">По окончании Срока доступа вход в Учётную запись сохраняется, но занятия и Материалы становятся недоступны, а Приложение показывает экран продления. Учебные данные хранятся 3 (три) года после окончания Срока доступа (Политика) и снова доступны при продлении.</w:t>
      </w:r>
    </w:p>
    <w:p>
      <w:pPr>
        <w:pStyle w:val="Heading2"/>
      </w:pPr>
      <w:r>
        <w:t xml:space="preserve">3. Допустимое использование</w:t>
      </w:r>
    </w:p>
    <w:p>
      <w:r>
        <w:t xml:space="preserve">3.1. </w:t>
      </w:r>
      <w:r>
        <w:t xml:space="preserve">Сервис предназначен для личной самостоятельной подготовки к ЕГЭ в некоммерческих целях.</w:t>
      </w:r>
    </w:p>
    <w:p>
      <w:r>
        <w:t xml:space="preserve">3.2. </w:t>
      </w:r>
      <w:r>
        <w:t xml:space="preserve">Пользователь вправе в течение Срока доступа: изучать теорию, решать задания в тренажёре, составлять и корректировать персональный план, просматривать статистику, заниматься на любом из привязанных Устройств с общими Учебными данными, экспортировать свои Учебные данные в Резервную копию и импортировать их, делать для себя заметки и выписки в объёме, необходимом для личной подготовки.</w:t>
      </w:r>
    </w:p>
    <w:p>
      <w:r>
        <w:t xml:space="preserve">3.3. </w:t>
      </w:r>
      <w:r>
        <w:t xml:space="preserve">Учитель или репетитор может рекомендовать Сервис ученикам и использовать его в занятиях при условии, что каждый ученик пользуется собственной Учётной записью. Демонстрация Приложения группе лиц (на групповых занятиях, в трансляциях, записях) допускается только с согласия Оператора.</w:t>
      </w:r>
    </w:p>
    <w:p>
      <w:r>
        <w:t xml:space="preserve">3.4. </w:t>
      </w:r>
      <w:r>
        <w:t xml:space="preserve">Для работы Приложения требуется актуальная версия современного браузера с включёнными JavaScript, cookies и локальным хранилищем, а для входа — доступ к Почте ученика. Функции Сервиса, не требующие связи с сервером, могут работать при временном отсутствии подключения к сети «Интернет», но это не гарантируется; изменения Учебных данных передаются на сервер после восстановления подключения.</w:t>
      </w:r>
    </w:p>
    <w:p>
      <w:pPr>
        <w:pStyle w:val="Heading2"/>
      </w:pPr>
      <w:r>
        <w:t xml:space="preserve">4. Запреты</w:t>
      </w:r>
    </w:p>
    <w:p>
      <w:r>
        <w:t xml:space="preserve">4.1. </w:t>
      </w:r>
      <w:r>
        <w:t xml:space="preserve">Пользователю запрещается:</w:t>
      </w:r>
    </w:p>
    <w:p>
      <w:pPr>
        <w:tabs>
          <w:tab w:val="left" w:pos="454"/>
        </w:tabs>
        <w:spacing w:after="0"/>
        <w:ind w:left="454" w:hanging="454"/>
        <w:jc w:val="both"/>
      </w:pPr>
      <w:r>
        <w:t xml:space="preserve">—</w:t>
      </w:r>
      <w:r>
        <w:tab/>
      </w:r>
      <w:r>
        <w:t xml:space="preserve">передавать доступ к Учётной записи, сообщать другим лицам Коды входа, продавать доступ или использовать одну Учётную запись нескольким лицам;</w:t>
      </w:r>
    </w:p>
    <w:p>
      <w:pPr>
        <w:tabs>
          <w:tab w:val="left" w:pos="454"/>
        </w:tabs>
        <w:spacing w:after="0"/>
        <w:ind w:left="454" w:hanging="454"/>
        <w:jc w:val="both"/>
      </w:pPr>
      <w:r>
        <w:t xml:space="preserve">—</w:t>
      </w:r>
      <w:r>
        <w:tab/>
      </w:r>
      <w:r>
        <w:t xml:space="preserve">обходить проверку входа, ограничение числа Устройств, запрет копирования Материалов и иные технические средства защиты, удалять или скрывать водяной знак со Служебным номером;</w:t>
      </w:r>
    </w:p>
    <w:p>
      <w:pPr>
        <w:tabs>
          <w:tab w:val="left" w:pos="454"/>
        </w:tabs>
        <w:spacing w:after="0"/>
        <w:ind w:left="454" w:hanging="454"/>
        <w:jc w:val="both"/>
      </w:pPr>
      <w:r>
        <w:t xml:space="preserve">—</w:t>
      </w:r>
      <w:r>
        <w:tab/>
      </w:r>
      <w:r>
        <w:t xml:space="preserve">извлекать Материалы, задания, ответы и разборы с помощью программ (парсинг, скрейпинг, боты), направлять автоматизированные запросы к серверу Сервиса, в том числе подбирать Коды входа;</w:t>
      </w:r>
    </w:p>
    <w:p>
      <w:pPr>
        <w:tabs>
          <w:tab w:val="left" w:pos="454"/>
        </w:tabs>
        <w:spacing w:after="0"/>
        <w:ind w:left="454" w:hanging="454"/>
        <w:jc w:val="both"/>
      </w:pPr>
      <w:r>
        <w:t xml:space="preserve">—</w:t>
      </w:r>
      <w:r>
        <w:tab/>
      </w:r>
      <w:r>
        <w:t xml:space="preserve">копировать, распространять, публиковать Материалы, ответы и разборы, в том числе в социальных сетях, мессенджерах и на других сайтах, создавать на их основе производные материалы и сервисы;</w:t>
      </w:r>
    </w:p>
    <w:p>
      <w:pPr>
        <w:tabs>
          <w:tab w:val="left" w:pos="454"/>
        </w:tabs>
        <w:spacing w:after="0"/>
        <w:ind w:left="454" w:hanging="454"/>
        <w:jc w:val="both"/>
      </w:pPr>
      <w:r>
        <w:t xml:space="preserve">—</w:t>
      </w:r>
      <w:r>
        <w:tab/>
      </w:r>
      <w:r>
        <w:t xml:space="preserve">декомпилировать, модифицировать программный код Приложения, кроме случаев, прямо разрешённых статьёй 1280 ГК РФ;</w:t>
      </w:r>
    </w:p>
    <w:p>
      <w:pPr>
        <w:tabs>
          <w:tab w:val="left" w:pos="454"/>
        </w:tabs>
        <w:spacing w:after="0"/>
        <w:ind w:left="454" w:hanging="454"/>
        <w:jc w:val="both"/>
      </w:pPr>
      <w:r>
        <w:t xml:space="preserve">—</w:t>
      </w:r>
      <w:r>
        <w:tab/>
      </w:r>
      <w:r>
        <w:t xml:space="preserve">вмешиваться в работу Сервиса, создавать чрезмерную нагрузку, проводить поиск уязвимостей без согласия Оператора, распространять вредоносный код;</w:t>
      </w:r>
    </w:p>
    <w:p>
      <w:pPr>
        <w:tabs>
          <w:tab w:val="left" w:pos="454"/>
        </w:tabs>
        <w:spacing w:after="0"/>
        <w:ind w:left="454" w:hanging="454"/>
        <w:jc w:val="both"/>
      </w:pPr>
      <w:r>
        <w:t xml:space="preserve">—</w:t>
      </w:r>
      <w:r>
        <w:tab/>
      </w:r>
      <w:r>
        <w:t xml:space="preserve">выдавать себя за Оператора или другое лицо, вводить Оператора в заблуждение при обращениях;</w:t>
      </w:r>
    </w:p>
    <w:p>
      <w:pPr>
        <w:tabs>
          <w:tab w:val="left" w:pos="454"/>
        </w:tabs>
        <w:spacing w:after="0"/>
        <w:ind w:left="454" w:hanging="454"/>
        <w:jc w:val="both"/>
      </w:pPr>
      <w:r>
        <w:t xml:space="preserve">—</w:t>
      </w:r>
      <w:r>
        <w:tab/>
      </w:r>
      <w:r>
        <w:t xml:space="preserve">использовать Сервис во время сдачи экзамена или иным образом в нарушение порядка проведения государственной итоговой аттестации;</w:t>
      </w:r>
    </w:p>
    <w:p>
      <w:pPr>
        <w:tabs>
          <w:tab w:val="left" w:pos="454"/>
        </w:tabs>
        <w:spacing w:after="0"/>
        <w:ind w:left="454" w:hanging="454"/>
        <w:jc w:val="both"/>
      </w:pPr>
      <w:r>
        <w:t xml:space="preserve">—</w:t>
      </w:r>
      <w:r>
        <w:tab/>
      </w:r>
      <w:r>
        <w:t xml:space="preserve">использовать Сервис в противоправных целях.</w:t>
      </w:r>
    </w:p>
    <w:p>
      <w:r>
        <w:t xml:space="preserve">4.2. </w:t>
      </w:r>
      <w:r>
        <w:t xml:space="preserve">Об обнаруженных уязвимостях и ошибках просим сообщать на kdmd100@mail.ru, не используя их и не раскрывая третьим лицам.</w:t>
      </w:r>
    </w:p>
    <w:p>
      <w:r>
        <w:t xml:space="preserve">4.3. </w:t>
      </w:r>
      <w:r>
        <w:t xml:space="preserve">При нарушении запретов Оператор вправе приостановить доступ к Учётной записи в порядке, предусмотренном пунктом 9.3 Оферты. Нарушитель несёт ответственность в соответствии с законодательством Российской Федерации.</w:t>
      </w:r>
    </w:p>
    <w:p>
      <w:pPr>
        <w:pStyle w:val="Heading2"/>
      </w:pPr>
      <w:r>
        <w:t xml:space="preserve">5. Учебные данные и Резервные копии</w:t>
      </w:r>
    </w:p>
    <w:p>
      <w:r>
        <w:t xml:space="preserve">5.1. </w:t>
      </w:r>
      <w:r>
        <w:t xml:space="preserve">Учебные данные (ответы на задания и их результаты, самооценка, заметки, персональный план, ответы анкеты, настройки занятий и иные сведения, перечисленные в пункте 1.21 Оферты) сохраняются в браузере на Устройстве и передаются на сервер Оператора в Российской Федерации, где хранятся в Учётной записи. Благодаря этому прогресс общий на привязанных Устройствах: решённое на телефоне видно на компьютере, и наоборот.</w:t>
      </w:r>
    </w:p>
    <w:p>
      <w:r>
        <w:t xml:space="preserve">5.2. </w:t>
      </w:r>
      <w:r>
        <w:t xml:space="preserve">Изменения Учебных данных передаются на сервер автоматически при наличии подключения к сети «Интернет», а с сервера на Устройство — при входе и во время работы Приложения. Если одна и та же запись изменена на двух Устройствах, сохраняется более позднее изменение. Изменения, сделанные без подключения, передаются после его восстановления; если до этого данные браузера будут очищены, такие изменения будут утрачены.</w:t>
      </w:r>
    </w:p>
    <w:p>
      <w:r>
        <w:t xml:space="preserve">5.3. </w:t>
      </w:r>
      <w:r>
        <w:t xml:space="preserve">При первом входе в Учётную запись на Устройстве прогресс, ранее сохранённый в браузере этого Устройства, может быть перенесён в Учётную запись; если в Учётной записи уже есть прогресс, Приложение спросит Пользователя, как поступить.</w:t>
      </w:r>
    </w:p>
    <w:p>
      <w:r>
        <w:t xml:space="preserve">5.4. </w:t>
      </w:r>
      <w:r>
        <w:t xml:space="preserve">Сброс прогресса в Приложении стирает с сервера и с привязанных Устройств результаты занятий: ответы на задания и самооценку, состояние тем, сведения о занятиях, пробные варианты и карточки повторения, а также рассчитанные показатели обучения и параметры подбора плана. Анкета, заметки, расписание недели, настройки и сведения о работе с теорией и подсказками при этом сохраняются. Заметки и события расписания Пользователь удаляет в Приложении сам (очищает текст заметки, удаляет событие); анкету целиком можно удалить только вместе с Учётной записью — по запросу в Службу поддержки. С удалением Учётной записи доступ и оплаченный Срок доступа прекращаются. Если оплаченный Срок доступа ещё не истёк, Оператор до удаления сообщает об этом; возврат денежных средств производится только по отдельному заявлению плательщика в порядке раздела 10 Оферты. Удаление данных Сайта в настройках браузера удаляет только копию на этом Устройстве. Сроки хранения Учебных данных на сервере (3 года после окончания Срока доступа) и сведения, которые хранятся и после удаления Учётной записи (например, о платежах), определены Политикой (пункт 6.4).</w:t>
      </w:r>
    </w:p>
    <w:p>
      <w:r>
        <w:t xml:space="preserve">5.5. </w:t>
      </w:r>
      <w:r>
        <w:t xml:space="preserve">Пользователь может также сохранить Учебные данные в файл (Резервную копию). Резервная копия сохраняется у Пользователя. Оператор получает её только если Пользователь сам направит файл в Службу поддержки; в этом случае файл обрабатывается на основании Согласия и в соответствии с Политикой.</w:t>
      </w:r>
    </w:p>
    <w:p>
      <w:r>
        <w:t xml:space="preserve">5.6. </w:t>
      </w:r>
      <w:r>
        <w:t xml:space="preserve">Не импортируйте в Приложение файлы, полученные из непроверенных источников. Оператор не отвечает за последствия импорта файлов, созданных не средствами Приложения.</w:t>
      </w:r>
    </w:p>
    <w:p>
      <w:pPr>
        <w:pStyle w:val="Heading2"/>
      </w:pPr>
      <w:r>
        <w:t xml:space="preserve">6. Контент, интеллектуальная собственность и заявления правообладателей</w:t>
      </w:r>
    </w:p>
    <w:p>
      <w:r>
        <w:t xml:space="preserve">6.1. </w:t>
      </w:r>
      <w:r>
        <w:t xml:space="preserve">Исключительные права на Приложение и Материалы принадлежат Оператору. Соглашение не передаёт Пользователю каких-либо прав на них; право использования предоставляется по Оферте в пределах, указанных в ней.</w:t>
      </w:r>
    </w:p>
    <w:p>
      <w:r>
        <w:t xml:space="preserve">6.2. </w:t>
      </w:r>
      <w:r>
        <w:t xml:space="preserve">Задания ФИПИ и документы ФИПИ (демонстрационные варианты, спецификации, кодификаторы) — общедоступные материалы третьего лица. Оператор не является их правообладателем и не заявляет о связи Сервиса с ФИПИ; Сервис не является официальным ресурсом ФИПИ или органов государственной власти. Задания приводятся с указанием источника и ссылкой на задание или документ на сайте ФИПИ; документы ФИПИ на Сайте целиком не размещаются — Сервис даёт ссылки на https://fipi.ru/, где опубликованы их официальные версии. Плата по Оферте вносится за право использования Приложения и материалов, созданных Оператором; отдельная плата за Задания ФИПИ не устанавливается. О замеченных расхождениях и ошибках просим сообщать Оператору.</w:t>
      </w:r>
    </w:p>
    <w:p>
      <w:r>
        <w:t xml:space="preserve">6.3. </w:t>
      </w:r>
      <w:r>
        <w:t xml:space="preserve">Наименование «Точка 100», логотип и оформление Сервиса используются Оператором для индивидуализации Сервиса. Их использование третьими лицами без согласия Оператора не допускается.</w:t>
      </w:r>
    </w:p>
    <w:p>
      <w:r>
        <w:t xml:space="preserve">6.4. </w:t>
      </w:r>
      <w:r>
        <w:t xml:space="preserve">Направляя Оператору отзывы, предложения и сообщения об ошибках, Пользователь соглашается с тем, что Оператор вправе безвозмездно использовать их для улучшения Сервиса без указания имени отправителя.</w:t>
      </w:r>
    </w:p>
    <w:p>
      <w:r>
        <w:t xml:space="preserve">6.5. </w:t>
      </w:r>
      <w:r>
        <w:rPr>
          <w:b/>
          <w:bCs/>
        </w:rPr>
        <w:t xml:space="preserve">Правообладателям.</w:t>
      </w:r>
      <w:r>
        <w:t xml:space="preserve"> Лицо, полагающее, что материал на Сайте или в Приложении (задание, текст, изображение или иной материал) нарушает его права, направляет Оператору заявление на электронную почту kdmd100@mail.ru. В заявлении указываются:</w:t>
      </w:r>
    </w:p>
    <w:p>
      <w:pPr>
        <w:tabs>
          <w:tab w:val="left" w:pos="454"/>
        </w:tabs>
        <w:spacing w:after="0"/>
        <w:ind w:left="454" w:hanging="454"/>
        <w:jc w:val="both"/>
      </w:pPr>
      <w:r>
        <w:t xml:space="preserve">—</w:t>
      </w:r>
      <w:r>
        <w:tab/>
      </w:r>
      <w:r>
        <w:t xml:space="preserve">сведения о заявителе, а если заявление направляет представитель — также о правообладателе и документ, подтверждающий полномочия представителя;</w:t>
      </w:r>
    </w:p>
    <w:p>
      <w:pPr>
        <w:tabs>
          <w:tab w:val="left" w:pos="454"/>
        </w:tabs>
        <w:spacing w:after="0"/>
        <w:ind w:left="454" w:hanging="454"/>
        <w:jc w:val="both"/>
      </w:pPr>
      <w:r>
        <w:t xml:space="preserve">—</w:t>
      </w:r>
      <w:r>
        <w:tab/>
      </w:r>
      <w:r>
        <w:t xml:space="preserve">материал, о котором идёт речь: ссылка на страницу Сайта или описание, позволяющее найти материал в Приложении;</w:t>
      </w:r>
    </w:p>
    <w:p>
      <w:pPr>
        <w:tabs>
          <w:tab w:val="left" w:pos="454"/>
        </w:tabs>
        <w:spacing w:after="0"/>
        <w:ind w:left="454" w:hanging="454"/>
        <w:jc w:val="both"/>
      </w:pPr>
      <w:r>
        <w:t xml:space="preserve">—</w:t>
      </w:r>
      <w:r>
        <w:tab/>
      </w:r>
      <w:r>
        <w:t xml:space="preserve">на каком основании заявителю принадлежат права на этот материал;</w:t>
      </w:r>
    </w:p>
    <w:p>
      <w:pPr>
        <w:tabs>
          <w:tab w:val="left" w:pos="454"/>
        </w:tabs>
        <w:spacing w:after="0"/>
        <w:ind w:left="454" w:hanging="454"/>
        <w:jc w:val="both"/>
      </w:pPr>
      <w:r>
        <w:t xml:space="preserve">—</w:t>
      </w:r>
      <w:r>
        <w:tab/>
      </w:r>
      <w:r>
        <w:t xml:space="preserve">контакты для ответа.</w:t>
      </w:r>
    </w:p>
    <w:p>
      <w:r>
        <w:t xml:space="preserve">6.6. </w:t>
      </w:r>
      <w:r>
        <w:t xml:space="preserve">Оператор рассматривает заявление и направляет ответ в течение 10 (десяти) рабочих дней со дня его получения, если законом не установлен более короткий срок. Заявление о нарушении авторских и (или) смежных прав в сети «Интернет», поданное в порядке статьи 15.7 Федерального закона от 27.07.2006 № 149-ФЗ «Об информации, информационных технологиях и о защите информации», рассматривается в порядке и сроки, установленные этой статьёй. Если требование обосновано, Оператор удаляет материал или ограничивает доступ к нему; если нет — сообщает заявителю причины, по которым требование не удовлетворено.</w:t>
      </w:r>
    </w:p>
    <w:p>
      <w:r>
        <w:t xml:space="preserve">6.7. </w:t>
      </w:r>
      <w:r>
        <w:t xml:space="preserve">На время проверки заявления Оператор вправе ограничить доступ к материалу, о котором идёт речь.</w:t>
      </w:r>
    </w:p>
    <w:p>
      <w:pPr>
        <w:pStyle w:val="Heading2"/>
      </w:pPr>
      <w:r>
        <w:t xml:space="preserve">7. Ссылки на внешние ресурсы</w:t>
      </w:r>
    </w:p>
    <w:p>
      <w:r>
        <w:t xml:space="preserve">7.1. </w:t>
      </w:r>
      <w:r>
        <w:t xml:space="preserve">Сайт и Приложение содержат ссылки на внешние ресурсы: официальный сайт ФИПИ, сторонние образовательные сайты, а также поисковые системы и видеохостинги (ссылки на поисковую выдачу по теме задания). Ссылки размещены для удобства Пользователя и не означают одобрения таких ресурсов или их содержания.</w:t>
      </w:r>
    </w:p>
    <w:p>
      <w:r>
        <w:t xml:space="preserve">7.2. </w:t>
      </w:r>
      <w:r>
        <w:t xml:space="preserve">Оператор не контролирует внешние ресурсы и не несёт ответственности за их содержание, доступность, правомерность размещённых на них материалов и за обработку персональных данных их владельцами. Переход по ссылке осуществляется по инициативе Пользователя; на внешнем ресурсе действуют правила его владельца. Это относится и к платёжной странице Платёжного сервиса, на которой действуют правила НКО «ЮМани» (ООО).</w:t>
      </w:r>
    </w:p>
    <w:p>
      <w:r>
        <w:t xml:space="preserve">7.3. </w:t>
      </w:r>
      <w:r>
        <w:t xml:space="preserve">Законным представителям несовершеннолетних рекомендуется учитывать, что содержание внешних ресурсов и рекламы на них может не соответствовать возрасту ребёнка.</w:t>
      </w:r>
    </w:p>
    <w:p>
      <w:r>
        <w:t xml:space="preserve">7.4. </w:t>
      </w:r>
      <w:r>
        <w:t xml:space="preserve">О неработающих или неуместных ссылках просим сообщать Оператору; Оператор вправе удалить или заменить ссылку без уведомления.</w:t>
      </w:r>
    </w:p>
    <w:p>
      <w:pPr>
        <w:pStyle w:val="Heading2"/>
      </w:pPr>
      <w:r>
        <w:t xml:space="preserve">8. Ограничение ответственности</w:t>
      </w:r>
    </w:p>
    <w:p>
      <w:r>
        <w:t xml:space="preserve">8.1. </w:t>
      </w:r>
      <w:r>
        <w:t xml:space="preserve">Сайт и Приложение предоставляются в том виде, в котором они существуют на момент использования. Оператор принимает разумные меры для их корректной работы, но в пределах, допускаемых законом, не гарантирует отсутствие ошибок и бесперебойную работу.</w:t>
      </w:r>
    </w:p>
    <w:p>
      <w:r>
        <w:t xml:space="preserve">8.2. </w:t>
      </w:r>
      <w:r>
        <w:t xml:space="preserve">Оператор не гарантирует получение определённого результата на экзамене. Прогнозы, оценки и статистика в Приложении носят ориентировочный характер.</w:t>
      </w:r>
    </w:p>
    <w:p>
      <w:r>
        <w:t xml:space="preserve">8.3. </w:t>
      </w:r>
      <w:r>
        <w:t xml:space="preserve">Оператор вправе проводить технические работы с временной недоступностью Сервиса, по возможности с предварительным уведомлением на Сайте или в Приложении. Последствия недоступности платного доступа определены пунктом 8.7 Оферты.</w:t>
      </w:r>
    </w:p>
    <w:p>
      <w:r>
        <w:t xml:space="preserve">8.4. </w:t>
      </w:r>
      <w:r>
        <w:t xml:space="preserve">Оператор не несёт ответственности за утрату изменений Учебных данных, не переданных на сервер (пункт 5.2), и данных, удалённых самим Пользователем, за работу Платёжного сервиса, банков, операторов связи, почтовых сервисов и мессенджеров, браузеров и Устройств Пользователя, за неполучение писем из-за неверно указанного адреса электронной почты или работы фильтров нежелательной почты, за действия лиц, получивших доступ к Учётной записи, Почте ученика или Коду входа от Пользователя, и за содержание внешних ресурсов.</w:t>
      </w:r>
    </w:p>
    <w:p>
      <w:r>
        <w:t xml:space="preserve">8.5. </w:t>
      </w:r>
      <w:r>
        <w:t xml:space="preserve">Для платного доступа размер ответственности Оператора определяется разделом 8 Оферты. Ограничения ответственности не применяются в случаях, когда они не допускаются законом, в том числе при умышленном нарушении (пункт 4 статьи 401 ГК РФ) и в части, противоречащей законодательству о защите прав потребителей.</w:t>
      </w:r>
    </w:p>
    <w:p>
      <w:r>
        <w:t xml:space="preserve">8.6. </w:t>
      </w:r>
      <w:r>
        <w:t xml:space="preserve">Пользователь несёт ответственность за нарушение Соглашения и прав третьих лиц, а Законный представитель — за действия Пользователя младше 14 лет в соответствии с законодательством Российской Федерации.</w:t>
      </w:r>
    </w:p>
    <w:p>
      <w:pPr>
        <w:pStyle w:val="Heading2"/>
      </w:pPr>
      <w:r>
        <w:t xml:space="preserve">9. Изменение Соглашения</w:t>
      </w:r>
    </w:p>
    <w:p>
      <w:r>
        <w:t xml:space="preserve">9.1. </w:t>
      </w:r>
      <w:r>
        <w:t xml:space="preserve">Оператор вправе изменять Соглашение, публикуя новую редакцию в разделе «Документы» Сайта с указанием даты редакции. Сведения о действующих редакциях Документов публикуются там же (файл versions.json).</w:t>
      </w:r>
    </w:p>
    <w:p>
      <w:r>
        <w:t xml:space="preserve">9.2. </w:t>
      </w:r>
      <w:r>
        <w:t xml:space="preserve">Уведомление о новой редакции размещается на Сайте и (или) в Приложении при следующем его открытии.</w:t>
      </w:r>
    </w:p>
    <w:p>
      <w:r>
        <w:t xml:space="preserve">9.3. </w:t>
      </w:r>
      <w:r>
        <w:t xml:space="preserve">Новая редакция действует с даты публикации: для Посетителей — с момента публикации, для Пользователей Приложения — с момента её принятия при Первом входе или при следующем открытии Приложения. Для Пользователей с оплаченным доступом до окончания Срока доступа продолжает действовать ранее принятая редакция, если Пользователь не принял новую, изменения не улучшают его положение и их применение не обязательно в силу закона.</w:t>
      </w:r>
    </w:p>
    <w:p>
      <w:pPr>
        <w:pStyle w:val="Heading2"/>
      </w:pPr>
      <w:r>
        <w:t xml:space="preserve">10. Контакты и обращения</w:t>
      </w:r>
    </w:p>
    <w:p>
      <w:r>
        <w:t xml:space="preserve">10.1. </w:t>
      </w:r>
      <w:r>
        <w:t xml:space="preserve">Вопросы по работе Сервиса, сообщения об ошибках, обращения (в том числе об утрате доступа к Почте ученика) и претензии направляются в Службу поддержки: на электронную почту kdmd100@mail.ru или в Telegram @cbaombp. Адрес для направления корреспонденции почтой сообщается по запросу на электронную почту kdmd100@mail.ru.</w:t>
      </w:r>
    </w:p>
    <w:p>
      <w:r>
        <w:t xml:space="preserve">10.2. </w:t>
      </w:r>
      <w:r>
        <w:t xml:space="preserve">Оператор отвечает на обращения в течение 10 (десяти) рабочих дней со дня получения, если законом не установлен иной срок. Запросы, касающиеся персональных данных, рассматриваются в порядке, установленном Политикой.</w:t>
      </w:r>
    </w:p>
    <w:p>
      <w:r>
        <w:t xml:space="preserve">10.3. </w:t>
      </w:r>
      <w:r>
        <w:t xml:space="preserve">К Соглашению применяется право Российской Федерации. Споры разрешаются в порядке, предусмотренном разделом 12 Оферты; для потребителя направление претензии не является обязательным условием обращения в суд.</w:t>
      </w:r>
    </w:p>
    <w:p>
      <w:r>
        <w:t xml:space="preserve">10.4. </w:t>
      </w:r>
      <w:r>
        <w:t xml:space="preserve">Недействительность отдельного условия Соглашения не влечёт недействительности остальных его условий.</w:t>
      </w:r>
    </w:p>
    <w:p>
      <w:pPr>
        <w:pStyle w:val="Heading2"/>
      </w:pPr>
      <w:r>
        <w:t xml:space="preserve">11. Реквизиты Оператора</w:t>
      </w:r>
    </w:p>
    <w:tbl>
      <w:tblPr>
        <w:tblStyle w:val="TableGrid"/>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00" w:type="dxa"/>
          <w:bottom w:w="40" w:type="dxa"/>
          <w:right w:w="100" w:type="dxa"/>
        </w:tblCellMar>
      </w:tblPr>
      <w:tblGrid>
        <w:gridCol w:w="2806"/>
        <w:gridCol w:w="6549"/>
      </w:tblGrid>
      <w:tr>
        <w:tc>
          <w:tcPr>
            <w:tcW w:w="2806" w:type="dxa"/>
            <w:shd w:val="clear" w:color="auto" w:fill="F2F2F2"/>
          </w:tcPr>
          <w:p>
            <w:pPr>
              <w:spacing w:after="40" w:line="240" w:lineRule="auto"/>
              <w:jc w:val="left"/>
              <w:rPr>
                <w:sz w:val="20"/>
                <w:szCs w:val="20"/>
              </w:rPr>
            </w:pPr>
            <w:r>
              <w:rPr>
                <w:b/>
                <w:bCs/>
                <w:sz w:val="20"/>
                <w:szCs w:val="20"/>
              </w:rPr>
              <w:t xml:space="preserve">Оператор</w:t>
            </w:r>
          </w:p>
        </w:tc>
        <w:tc>
          <w:tcPr>
            <w:tcW w:w="6549" w:type="dxa"/>
          </w:tcPr>
          <w:p>
            <w:pPr>
              <w:spacing w:after="40" w:line="240" w:lineRule="auto"/>
              <w:jc w:val="left"/>
              <w:rPr>
                <w:sz w:val="20"/>
                <w:szCs w:val="20"/>
              </w:rPr>
            </w:pPr>
            <w:r>
              <w:rPr>
                <w:sz w:val="20"/>
                <w:szCs w:val="20"/>
              </w:rPr>
              <w:t xml:space="preserve">Кульбачный Дмитрий Максимович</w:t>
            </w:r>
          </w:p>
        </w:tc>
      </w:tr>
      <w:tr>
        <w:tc>
          <w:tcPr>
            <w:tcW w:w="2806" w:type="dxa"/>
            <w:shd w:val="clear" w:color="auto" w:fill="F2F2F2"/>
          </w:tcPr>
          <w:p>
            <w:pPr>
              <w:spacing w:after="40" w:line="240" w:lineRule="auto"/>
              <w:jc w:val="left"/>
              <w:rPr>
                <w:sz w:val="20"/>
                <w:szCs w:val="20"/>
              </w:rPr>
            </w:pPr>
            <w:r>
              <w:rPr>
                <w:b/>
                <w:bCs/>
                <w:sz w:val="20"/>
                <w:szCs w:val="20"/>
              </w:rPr>
              <w:t xml:space="preserve">Статус</w:t>
            </w:r>
          </w:p>
        </w:tc>
        <w:tc>
          <w:tcPr>
            <w:tcW w:w="6549" w:type="dxa"/>
          </w:tcPr>
          <w:p>
            <w:pPr>
              <w:spacing w:after="40" w:line="240" w:lineRule="auto"/>
              <w:jc w:val="left"/>
              <w:rPr>
                <w:sz w:val="20"/>
                <w:szCs w:val="20"/>
              </w:rPr>
            </w:pPr>
            <w:r>
              <w:rPr>
                <w:sz w:val="20"/>
                <w:szCs w:val="20"/>
              </w:rPr>
              <w:t xml:space="preserve">физическое лицо — плательщик налога на профессиональный доход (Федеральный закон от 27.11.2018 № 422-ФЗ)</w:t>
            </w:r>
          </w:p>
        </w:tc>
      </w:tr>
      <w:tr>
        <w:tc>
          <w:tcPr>
            <w:tcW w:w="2806" w:type="dxa"/>
            <w:shd w:val="clear" w:color="auto" w:fill="F2F2F2"/>
          </w:tcPr>
          <w:p>
            <w:pPr>
              <w:spacing w:after="40" w:line="240" w:lineRule="auto"/>
              <w:jc w:val="left"/>
              <w:rPr>
                <w:sz w:val="20"/>
                <w:szCs w:val="20"/>
              </w:rPr>
            </w:pPr>
            <w:r>
              <w:rPr>
                <w:b/>
                <w:bCs/>
                <w:sz w:val="20"/>
                <w:szCs w:val="20"/>
              </w:rPr>
              <w:t xml:space="preserve">ИНН</w:t>
            </w:r>
          </w:p>
        </w:tc>
        <w:tc>
          <w:tcPr>
            <w:tcW w:w="6549" w:type="dxa"/>
          </w:tcPr>
          <w:p>
            <w:pPr>
              <w:spacing w:after="40" w:line="240" w:lineRule="auto"/>
              <w:jc w:val="left"/>
              <w:rPr>
                <w:sz w:val="20"/>
                <w:szCs w:val="20"/>
              </w:rPr>
            </w:pPr>
            <w:r>
              <w:rPr>
                <w:sz w:val="20"/>
                <w:szCs w:val="20"/>
              </w:rPr>
              <w:t xml:space="preserve">781460245682</w:t>
            </w:r>
          </w:p>
        </w:tc>
      </w:tr>
      <w:tr>
        <w:tc>
          <w:tcPr>
            <w:tcW w:w="2806" w:type="dxa"/>
            <w:shd w:val="clear" w:color="auto" w:fill="F2F2F2"/>
          </w:tcPr>
          <w:p>
            <w:pPr>
              <w:spacing w:after="40" w:line="240" w:lineRule="auto"/>
              <w:jc w:val="left"/>
              <w:rPr>
                <w:sz w:val="20"/>
                <w:szCs w:val="20"/>
              </w:rPr>
            </w:pPr>
            <w:r>
              <w:rPr>
                <w:b/>
                <w:bCs/>
                <w:sz w:val="20"/>
                <w:szCs w:val="20"/>
              </w:rPr>
              <w:t xml:space="preserve">Адрес для корреспонденции</w:t>
            </w:r>
          </w:p>
        </w:tc>
        <w:tc>
          <w:tcPr>
            <w:tcW w:w="6549" w:type="dxa"/>
          </w:tcPr>
          <w:p>
            <w:pPr>
              <w:spacing w:after="40" w:line="240" w:lineRule="auto"/>
              <w:jc w:val="left"/>
              <w:rPr>
                <w:sz w:val="20"/>
                <w:szCs w:val="20"/>
              </w:rPr>
            </w:pPr>
            <w:r>
              <w:rPr>
                <w:sz w:val="20"/>
                <w:szCs w:val="20"/>
              </w:rPr>
              <w:t xml:space="preserve">сообщается по запросу на электронную почту kdmd100@mail.ru</w:t>
            </w:r>
          </w:p>
        </w:tc>
      </w:tr>
      <w:tr>
        <w:tc>
          <w:tcPr>
            <w:tcW w:w="2806" w:type="dxa"/>
            <w:shd w:val="clear" w:color="auto" w:fill="F2F2F2"/>
          </w:tcPr>
          <w:p>
            <w:pPr>
              <w:spacing w:after="40" w:line="240" w:lineRule="auto"/>
              <w:jc w:val="left"/>
              <w:rPr>
                <w:sz w:val="20"/>
                <w:szCs w:val="20"/>
              </w:rPr>
            </w:pPr>
            <w:r>
              <w:rPr>
                <w:b/>
                <w:bCs/>
                <w:sz w:val="20"/>
                <w:szCs w:val="20"/>
              </w:rPr>
              <w:t xml:space="preserve">Электронная почта</w:t>
            </w:r>
          </w:p>
        </w:tc>
        <w:tc>
          <w:tcPr>
            <w:tcW w:w="6549" w:type="dxa"/>
          </w:tcPr>
          <w:p>
            <w:pPr>
              <w:spacing w:after="40" w:line="240" w:lineRule="auto"/>
              <w:jc w:val="left"/>
              <w:rPr>
                <w:sz w:val="20"/>
                <w:szCs w:val="20"/>
              </w:rPr>
            </w:pPr>
            <w:r>
              <w:rPr>
                <w:sz w:val="20"/>
                <w:szCs w:val="20"/>
              </w:rPr>
              <w:t xml:space="preserve">kdmd100@mail.ru</w:t>
            </w:r>
          </w:p>
        </w:tc>
      </w:tr>
      <w:tr>
        <w:tc>
          <w:tcPr>
            <w:tcW w:w="2806" w:type="dxa"/>
            <w:shd w:val="clear" w:color="auto" w:fill="F2F2F2"/>
          </w:tcPr>
          <w:p>
            <w:pPr>
              <w:spacing w:after="40" w:line="240" w:lineRule="auto"/>
              <w:jc w:val="left"/>
              <w:rPr>
                <w:sz w:val="20"/>
                <w:szCs w:val="20"/>
              </w:rPr>
            </w:pPr>
            <w:r>
              <w:rPr>
                <w:b/>
                <w:bCs/>
                <w:sz w:val="20"/>
                <w:szCs w:val="20"/>
              </w:rPr>
              <w:t xml:space="preserve">Телефон</w:t>
            </w:r>
          </w:p>
        </w:tc>
        <w:tc>
          <w:tcPr>
            <w:tcW w:w="6549" w:type="dxa"/>
          </w:tcPr>
          <w:p>
            <w:pPr>
              <w:spacing w:after="40" w:line="240" w:lineRule="auto"/>
              <w:jc w:val="left"/>
              <w:rPr>
                <w:sz w:val="20"/>
                <w:szCs w:val="20"/>
              </w:rPr>
            </w:pPr>
            <w:r>
              <w:rPr>
                <w:sz w:val="20"/>
                <w:szCs w:val="20"/>
              </w:rPr>
              <w:t xml:space="preserve">+7 968 194-94-91</w:t>
            </w:r>
          </w:p>
        </w:tc>
      </w:tr>
      <w:tr>
        <w:tc>
          <w:tcPr>
            <w:tcW w:w="2806" w:type="dxa"/>
            <w:shd w:val="clear" w:color="auto" w:fill="F2F2F2"/>
          </w:tcPr>
          <w:p>
            <w:pPr>
              <w:spacing w:after="40" w:line="240" w:lineRule="auto"/>
              <w:jc w:val="left"/>
              <w:rPr>
                <w:sz w:val="20"/>
                <w:szCs w:val="20"/>
              </w:rPr>
            </w:pPr>
            <w:r>
              <w:rPr>
                <w:b/>
                <w:bCs/>
                <w:sz w:val="20"/>
                <w:szCs w:val="20"/>
              </w:rPr>
              <w:t xml:space="preserve">Поддержка в Telegram</w:t>
            </w:r>
          </w:p>
        </w:tc>
        <w:tc>
          <w:tcPr>
            <w:tcW w:w="6549" w:type="dxa"/>
          </w:tcPr>
          <w:p>
            <w:pPr>
              <w:spacing w:after="40" w:line="240" w:lineRule="auto"/>
              <w:jc w:val="left"/>
              <w:rPr>
                <w:sz w:val="20"/>
                <w:szCs w:val="20"/>
              </w:rPr>
            </w:pPr>
            <w:r>
              <w:rPr>
                <w:sz w:val="20"/>
                <w:szCs w:val="20"/>
              </w:rPr>
              <w:t xml:space="preserve">@cbaombp</w:t>
            </w:r>
          </w:p>
        </w:tc>
      </w:tr>
      <w:tr>
        <w:tc>
          <w:tcPr>
            <w:tcW w:w="2806" w:type="dxa"/>
            <w:shd w:val="clear" w:color="auto" w:fill="F2F2F2"/>
          </w:tcPr>
          <w:p>
            <w:pPr>
              <w:spacing w:after="40" w:line="240" w:lineRule="auto"/>
              <w:jc w:val="left"/>
              <w:rPr>
                <w:sz w:val="20"/>
                <w:szCs w:val="20"/>
              </w:rPr>
            </w:pPr>
            <w:r>
              <w:rPr>
                <w:b/>
                <w:bCs/>
                <w:sz w:val="20"/>
                <w:szCs w:val="20"/>
              </w:rPr>
              <w:t xml:space="preserve">Сайт</w:t>
            </w:r>
          </w:p>
        </w:tc>
        <w:tc>
          <w:tcPr>
            <w:tcW w:w="6549" w:type="dxa"/>
          </w:tcPr>
          <w:p>
            <w:pPr>
              <w:spacing w:after="40" w:line="240" w:lineRule="auto"/>
              <w:jc w:val="left"/>
              <w:rPr>
                <w:sz w:val="20"/>
                <w:szCs w:val="20"/>
              </w:rPr>
            </w:pPr>
            <w:r>
              <w:rPr>
                <w:sz w:val="20"/>
                <w:szCs w:val="20"/>
              </w:rPr>
              <w:t xml:space="preserve">https://dot100.ru/</w:t>
            </w:r>
          </w:p>
        </w:tc>
      </w:tr>
      <w:tr>
        <w:tc>
          <w:tcPr>
            <w:tcW w:w="2806" w:type="dxa"/>
            <w:shd w:val="clear" w:color="auto" w:fill="F2F2F2"/>
          </w:tcPr>
          <w:p>
            <w:pPr>
              <w:spacing w:after="40" w:line="240" w:lineRule="auto"/>
              <w:jc w:val="left"/>
              <w:rPr>
                <w:sz w:val="20"/>
                <w:szCs w:val="20"/>
              </w:rPr>
            </w:pPr>
            <w:r>
              <w:rPr>
                <w:b/>
                <w:bCs/>
                <w:sz w:val="20"/>
                <w:szCs w:val="20"/>
              </w:rPr>
              <w:t xml:space="preserve">Размещение серверов</w:t>
            </w:r>
          </w:p>
        </w:tc>
        <w:tc>
          <w:tcPr>
            <w:tcW w:w="6549" w:type="dxa"/>
          </w:tcPr>
          <w:p>
            <w:pPr>
              <w:spacing w:after="40" w:line="240" w:lineRule="auto"/>
              <w:jc w:val="left"/>
              <w:rPr>
                <w:sz w:val="20"/>
                <w:szCs w:val="20"/>
              </w:rPr>
            </w:pPr>
            <w:r>
              <w:rPr>
                <w:sz w:val="20"/>
                <w:szCs w:val="20"/>
              </w:rPr>
              <w:t xml:space="preserve">АО «Селектел» (ИНН 7810962785), Российская Федерация</w:t>
            </w:r>
          </w:p>
        </w:tc>
      </w:tr>
    </w:tbl>
    <w:p/>
    <w:sectPr>
      <w:footerReference w:type="default" r:id="rId2"/>
      <w:pgSz w:w="11906" w:h="16838"/>
      <w:pgMar w:top="1134" w:right="850" w:bottom="1134" w:left="1701" w:header="567" w:footer="567" w:gutter="0"/>
      <w:cols w:space="708"/>
    </w:sectPr>
  </w:body>
</w:document>
</file>

<file path=word/footer1.xml><?xml version="1.0" encoding="utf-8"?>
<w:ftr xmlns:w="http://schemas.openxmlformats.org/wordprocessingml/2006/main" xmlns:r="http://schemas.openxmlformats.org/officeDocument/2006/relationships">
  <w:p>
    <w:pPr>
      <w:spacing w:after="0"/>
      <w:jc w:val="center"/>
    </w:pPr>
    <w:r>
      <w:rPr>
        <w:sz w:val="18"/>
        <w:szCs w:val="18"/>
      </w:rPr>
      <w:t xml:space="preserve">Точка 100 — Пользовательское соглашение · стр. </w:t>
    </w:r>
    <w:fldSimple w:instr=" PAGE ">
      <w:r>
        <w:rPr>
          <w:sz w:val="18"/>
          <w:szCs w:val="18"/>
        </w:rPr>
        <w:t>1</w:t>
      </w:r>
    </w:fldSimple>
    <w:r>
      <w:rPr>
        <w:sz w:val="18"/>
        <w:szCs w:val="18"/>
      </w:rPr>
      <w:t xml:space="preserve"> из </w:t>
    </w:r>
    <w:fldSimple w:instr=" NUMPAGES ">
      <w:r>
        <w:rPr>
          <w:sz w:val="18"/>
          <w:szCs w:val="18"/>
        </w:rPr>
        <w:t>1</w:t>
      </w:r>
    </w:fldSimple>
  </w:p>
</w:ftr>
</file>

<file path=word/styles.xml><?xml version="1.0" encoding="utf-8"?>
<w:styles xmlns:w="http://schemas.openxmlformats.org/wordprocessingml/2006/main">
  <w:docDefaults>
    <w:rPrDefault>
      <w:rPr>
        <w:rFonts w:ascii="Times New Roman" w:hAnsi="Times New Roman" w:eastAsia="Times New Roman" w:cs="Times New Roman"/>
        <w:sz w:val="24"/>
        <w:szCs w:val="24"/>
        <w:lang w:val="ru-RU" w:eastAsia="ru-RU" w:bidi="ar-SA"/>
      </w:rPr>
    </w:rPrDefault>
    <w:pPrDefault>
      <w:pPr>
        <w:spacing w:after="0" w:line="240" w:lineRule="auto"/>
      </w:pPr>
    </w:pPrDefault>
  </w:docDefaults>
  <w:style w:type="paragraph" w:default="1" w:styleId="Normal">
    <w:name w:val="Normal"/>
    <w:qFormat/>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0"/>
      <w:jc w:val="center"/>
      <w:outlineLvl w:val="0"/>
    </w:pPr>
    <w:rPr>
      <w:b/>
      <w:bCs/>
      <w:sz w:val="32"/>
      <w:szCs w:val="32"/>
    </w:rPr>
  </w:style>
  <w:style w:type="paragraph" w:styleId="Heading1">
    <w:name w:val="heading 1"/>
    <w:basedOn w:val="Normal"/>
    <w:next w:val="Normal"/>
    <w:uiPriority w:val="9"/>
    <w:qFormat/>
    <w:pPr>
      <w:keepNext/>
      <w:spacing w:before="120" w:after="0"/>
      <w:jc w:val="center"/>
      <w:outlineLvl w:val="0"/>
    </w:pPr>
    <w:rPr>
      <w:b/>
      <w:bCs/>
      <w:sz w:val="24"/>
      <w:szCs w:val="24"/>
    </w:rPr>
  </w:style>
  <w:style w:type="paragraph" w:styleId="Heading2">
    <w:name w:val="heading 2"/>
    <w:basedOn w:val="Normal"/>
    <w:next w:val="Normal"/>
    <w:uiPriority w:val="9"/>
    <w:unhideWhenUsed/>
    <w:qFormat/>
    <w:pPr>
      <w:keepNext/>
      <w:spacing w:before="120" w:after="0"/>
      <w:jc w:val="center"/>
      <w:outlineLvl w:val="1"/>
    </w:pPr>
    <w:rPr>
      <w:b/>
      <w:bCs/>
      <w:sz w:val="24"/>
      <w:szCs w:val="24"/>
    </w:rPr>
  </w:style>
  <w:style w:type="paragraph" w:styleId="Heading3">
    <w:name w:val="heading 3"/>
    <w:basedOn w:val="Normal"/>
    <w:next w:val="Normal"/>
    <w:uiPriority w:val="9"/>
    <w:unhideWhenUsed/>
    <w:qFormat/>
    <w:pPr>
      <w:keepNext/>
      <w:spacing w:before="60" w:after="0"/>
      <w:jc w:val="left"/>
      <w:outlineLvl w:val="2"/>
    </w:pPr>
    <w:rPr>
      <w:b/>
      <w:bCs/>
      <w:sz w:val="24"/>
      <w:szCs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Точка 100 — Пользовательское соглашение</dc:title>
  <dc:creator>Точка 100</dc:creator>
  <dc:language>ru-RU</dc:language>
  <dcterms:created xsi:type="dcterms:W3CDTF">2026-10-23T14:33:58Z</dcterms:created>
  <dcterms:modified xsi:type="dcterms:W3CDTF">2026-10-23T14:33:58Z</dcterms:modified>
</cp:coreProperties>
</file>