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0"/>
        <w:jc w:val="center"/>
        <w:rPr>
          <w:sz w:val="24"/>
          <w:szCs w:val="24"/>
        </w:rPr>
      </w:pPr>
      <w:r>
        <w:rPr>
          <w:sz w:val="24"/>
          <w:szCs w:val="24"/>
        </w:rPr>
        <w:t xml:space="preserve">Онлайн-сервис «Точка 100»</w:t>
      </w:r>
    </w:p>
    <w:p>
      <w:pPr>
        <w:pStyle w:val="Title"/>
      </w:pPr>
      <w:r>
        <w:t xml:space="preserve">Политика в отношении обработки персональных данных</w:t>
      </w:r>
    </w:p>
    <w:p>
      <w:pPr>
        <w:spacing w:after="0"/>
        <w:jc w:val="center"/>
        <w:rPr>
          <w:sz w:val="24"/>
          <w:szCs w:val="24"/>
        </w:rPr>
      </w:pPr>
      <w:r>
        <w:rPr>
          <w:b/>
          <w:bCs/>
          <w:sz w:val="24"/>
          <w:szCs w:val="24"/>
        </w:rPr>
        <w:t xml:space="preserve">Документ, определяющий политику Оператора в отношении обработки персональных данных, и сведения о реализуемых требованиях к их защите</w:t>
      </w:r>
    </w:p>
    <w:p>
      <w:pPr>
        <w:spacing w:before="120" w:after="0"/>
        <w:jc w:val="center"/>
        <w:rPr>
          <w:sz w:val="24"/>
          <w:szCs w:val="24"/>
        </w:rPr>
      </w:pPr>
      <w:r>
        <w:rPr>
          <w:sz w:val="24"/>
          <w:szCs w:val="24"/>
        </w:rPr>
        <w:t xml:space="preserve">Редакция от 25.10.2026</w:t>
      </w:r>
    </w:p>
    <w:p>
      <w:pPr>
        <w:spacing w:after="240"/>
        <w:jc w:val="center"/>
        <w:rPr>
          <w:sz w:val="24"/>
          <w:szCs w:val="24"/>
        </w:rPr>
      </w:pPr>
      <w:r>
        <w:rPr>
          <w:sz w:val="24"/>
          <w:szCs w:val="24"/>
        </w:rPr>
        <w:t xml:space="preserve">Документ размещён в разделе «Документы» Сайта.</w:t>
      </w:r>
    </w:p>
    <w:p>
      <w:pPr>
        <w:keepNext/>
        <w:spacing w:before="120" w:after="0"/>
        <w:jc w:val="left"/>
      </w:pPr>
      <w:r>
        <w:rPr>
          <w:b/>
          <w:bCs/>
        </w:rPr>
        <w:t xml:space="preserve">Содержание</w:t>
      </w:r>
    </w:p>
    <w:p>
      <w:pPr>
        <w:tabs>
          <w:tab w:val="left" w:pos="510"/>
        </w:tabs>
        <w:spacing w:after="0"/>
        <w:ind w:left="510" w:hanging="510"/>
        <w:jc w:val="both"/>
      </w:pPr>
      <w:r>
        <w:t xml:space="preserve">1.</w:t>
      </w:r>
      <w:r>
        <w:tab/>
      </w:r>
      <w:r>
        <w:t xml:space="preserve">Общие положения</w:t>
      </w:r>
    </w:p>
    <w:p>
      <w:pPr>
        <w:tabs>
          <w:tab w:val="left" w:pos="510"/>
        </w:tabs>
        <w:spacing w:after="0"/>
        <w:ind w:left="510" w:hanging="510"/>
        <w:jc w:val="both"/>
      </w:pPr>
      <w:r>
        <w:t xml:space="preserve">2.</w:t>
      </w:r>
      <w:r>
        <w:tab/>
      </w:r>
      <w:r>
        <w:t xml:space="preserve">Термины и определения</w:t>
      </w:r>
    </w:p>
    <w:p>
      <w:pPr>
        <w:tabs>
          <w:tab w:val="left" w:pos="510"/>
        </w:tabs>
        <w:spacing w:after="0"/>
        <w:ind w:left="510" w:hanging="510"/>
        <w:jc w:val="both"/>
      </w:pPr>
      <w:r>
        <w:t xml:space="preserve">3.</w:t>
      </w:r>
      <w:r>
        <w:tab/>
      </w:r>
      <w:r>
        <w:t xml:space="preserve">Принципы обработки</w:t>
      </w:r>
    </w:p>
    <w:p>
      <w:pPr>
        <w:tabs>
          <w:tab w:val="left" w:pos="510"/>
        </w:tabs>
        <w:spacing w:after="0"/>
        <w:ind w:left="510" w:hanging="510"/>
        <w:jc w:val="both"/>
      </w:pPr>
      <w:r>
        <w:t xml:space="preserve">4.</w:t>
      </w:r>
      <w:r>
        <w:tab/>
      </w:r>
      <w:r>
        <w:t xml:space="preserve">Правовые основания обработки</w:t>
      </w:r>
    </w:p>
    <w:p>
      <w:pPr>
        <w:tabs>
          <w:tab w:val="left" w:pos="510"/>
        </w:tabs>
        <w:spacing w:after="0"/>
        <w:ind w:left="510" w:hanging="510"/>
        <w:jc w:val="both"/>
      </w:pPr>
      <w:r>
        <w:t xml:space="preserve">5.</w:t>
      </w:r>
      <w:r>
        <w:tab/>
      </w:r>
      <w:r>
        <w:t xml:space="preserve">Цели, состав данных и сроки</w:t>
      </w:r>
    </w:p>
    <w:p>
      <w:pPr>
        <w:tabs>
          <w:tab w:val="left" w:pos="510"/>
        </w:tabs>
        <w:spacing w:after="0"/>
        <w:ind w:left="510" w:hanging="510"/>
        <w:jc w:val="both"/>
      </w:pPr>
      <w:r>
        <w:t xml:space="preserve">6.</w:t>
      </w:r>
      <w:r>
        <w:tab/>
      </w:r>
      <w:r>
        <w:t xml:space="preserve">Учебные данные: на устройстве и на сервере</w:t>
      </w:r>
    </w:p>
    <w:p>
      <w:pPr>
        <w:tabs>
          <w:tab w:val="left" w:pos="510"/>
        </w:tabs>
        <w:spacing w:after="0"/>
        <w:ind w:left="510" w:hanging="510"/>
        <w:jc w:val="both"/>
      </w:pPr>
      <w:r>
        <w:t xml:space="preserve">7.</w:t>
      </w:r>
      <w:r>
        <w:tab/>
      </w:r>
      <w:r>
        <w:t xml:space="preserve">Порядок и условия обработки</w:t>
      </w:r>
    </w:p>
    <w:p>
      <w:pPr>
        <w:tabs>
          <w:tab w:val="left" w:pos="510"/>
        </w:tabs>
        <w:spacing w:after="0"/>
        <w:ind w:left="510" w:hanging="510"/>
        <w:jc w:val="both"/>
      </w:pPr>
      <w:r>
        <w:t xml:space="preserve">8.</w:t>
      </w:r>
      <w:r>
        <w:tab/>
      </w:r>
      <w:r>
        <w:t xml:space="preserve">Cookies и локальное хранилище</w:t>
      </w:r>
    </w:p>
    <w:p>
      <w:pPr>
        <w:tabs>
          <w:tab w:val="left" w:pos="510"/>
        </w:tabs>
        <w:spacing w:after="0"/>
        <w:ind w:left="510" w:hanging="510"/>
        <w:jc w:val="both"/>
      </w:pPr>
      <w:r>
        <w:t xml:space="preserve">9.</w:t>
      </w:r>
      <w:r>
        <w:tab/>
      </w:r>
      <w:r>
        <w:t xml:space="preserve">Права субъекта персональных данных</w:t>
      </w:r>
    </w:p>
    <w:p>
      <w:pPr>
        <w:tabs>
          <w:tab w:val="left" w:pos="510"/>
        </w:tabs>
        <w:spacing w:after="0"/>
        <w:ind w:left="510" w:hanging="510"/>
        <w:jc w:val="both"/>
      </w:pPr>
      <w:r>
        <w:t xml:space="preserve">10.</w:t>
      </w:r>
      <w:r>
        <w:tab/>
      </w:r>
      <w:r>
        <w:t xml:space="preserve">Обязанности Оператора</w:t>
      </w:r>
    </w:p>
    <w:p>
      <w:pPr>
        <w:tabs>
          <w:tab w:val="left" w:pos="510"/>
        </w:tabs>
        <w:spacing w:after="0"/>
        <w:ind w:left="510" w:hanging="510"/>
        <w:jc w:val="both"/>
      </w:pPr>
      <w:r>
        <w:t xml:space="preserve">11.</w:t>
      </w:r>
      <w:r>
        <w:tab/>
      </w:r>
      <w:r>
        <w:t xml:space="preserve">Порядок рассмотрения запросов</w:t>
      </w:r>
    </w:p>
    <w:p>
      <w:pPr>
        <w:tabs>
          <w:tab w:val="left" w:pos="510"/>
        </w:tabs>
        <w:spacing w:after="0"/>
        <w:ind w:left="510" w:hanging="510"/>
        <w:jc w:val="both"/>
      </w:pPr>
      <w:r>
        <w:t xml:space="preserve">12.</w:t>
      </w:r>
      <w:r>
        <w:tab/>
      </w:r>
      <w:r>
        <w:t xml:space="preserve">Уточнение, блокирование и уничтожение</w:t>
      </w:r>
    </w:p>
    <w:p>
      <w:pPr>
        <w:tabs>
          <w:tab w:val="left" w:pos="510"/>
        </w:tabs>
        <w:spacing w:after="0"/>
        <w:ind w:left="510" w:hanging="510"/>
        <w:jc w:val="both"/>
      </w:pPr>
      <w:r>
        <w:t xml:space="preserve">13.</w:t>
      </w:r>
      <w:r>
        <w:tab/>
      </w:r>
      <w:r>
        <w:t xml:space="preserve">Меры по защите персональных данных</w:t>
      </w:r>
    </w:p>
    <w:p>
      <w:pPr>
        <w:tabs>
          <w:tab w:val="left" w:pos="510"/>
        </w:tabs>
        <w:spacing w:after="0"/>
        <w:ind w:left="510" w:hanging="510"/>
        <w:jc w:val="both"/>
      </w:pPr>
      <w:r>
        <w:t xml:space="preserve">14.</w:t>
      </w:r>
      <w:r>
        <w:tab/>
      </w:r>
      <w:r>
        <w:t xml:space="preserve">Персональные данные несовершеннолетних</w:t>
      </w:r>
    </w:p>
    <w:p>
      <w:pPr>
        <w:tabs>
          <w:tab w:val="left" w:pos="510"/>
        </w:tabs>
        <w:spacing w:after="0"/>
        <w:ind w:left="510" w:hanging="510"/>
        <w:jc w:val="both"/>
      </w:pPr>
      <w:r>
        <w:t xml:space="preserve">15.</w:t>
      </w:r>
      <w:r>
        <w:tab/>
      </w:r>
      <w:r>
        <w:t xml:space="preserve">Заключительные положения</w:t>
      </w:r>
    </w:p>
    <w:p>
      <w:pPr>
        <w:tabs>
          <w:tab w:val="left" w:pos="510"/>
        </w:tabs>
        <w:spacing w:after="0"/>
        <w:ind w:left="510" w:hanging="510"/>
        <w:jc w:val="both"/>
      </w:pPr>
      <w:r>
        <w:t xml:space="preserve">16.</w:t>
      </w:r>
      <w:r>
        <w:tab/>
      </w:r>
      <w:r>
        <w:t xml:space="preserve">Контакты и реквизиты Оператора</w:t>
      </w:r>
    </w:p>
    <w:p>
      <w:pPr>
        <w:pStyle w:val="Heading2"/>
      </w:pPr>
      <w:r>
        <w:t xml:space="preserve">1. Общие положения</w:t>
      </w:r>
    </w:p>
    <w:p>
      <w:r>
        <w:t xml:space="preserve">1.1. </w:t>
      </w:r>
      <w:r>
        <w:t xml:space="preserve">Настоящая Политика в отношении обработки персональных данных (далее — Политика) определяет цели, правовые основания, порядок и условия обработки персональных данных пользователей онлайн-сервиса «Точка 100» и содержит сведения о реализуемых требованиях к защите персональных данных.</w:t>
      </w:r>
    </w:p>
    <w:p>
      <w:r>
        <w:t xml:space="preserve">1.2. </w:t>
      </w:r>
      <w:r>
        <w:t xml:space="preserve">Оператор персональных данных — Кульбачный Дмитрий Максимович, ИНН 781460245682, физическое лицо, применяющее специальный налоговый режим «Налог на профессиональный доход» (Федеральный закон от 27.11.2018 № 422-ФЗ, далее — Закон № 422-ФЗ), электронная почта kdmd100@mail.ru; адрес для направления корреспонденции сообщается по запросу на эту электронную почту (далее — Оператор). Обработку персональных данных организует и осуществляет Оператор; хранение данных поручено хостинг-провайдеру (пункт 7.4).</w:t>
      </w:r>
    </w:p>
    <w:p>
      <w:r>
        <w:t xml:space="preserve">1.3. </w:t>
      </w:r>
      <w:r>
        <w:t xml:space="preserve">Политика разработана во исполнение части 2 статьи 18.1 Федерального закона от 27.07.2006 № 152-ФЗ «О персональных данных» (далее — Закон № 152-ФЗ) с учётом рекомендаций Роскомнадзора по составлению документа, определяющего политику оператора в отношении обработки персональных данных, и опубликована на Сайте в свободном доступе, в том числе на страницах, где осуществляется сбор персональных данных.</w:t>
      </w:r>
    </w:p>
    <w:p>
      <w:r>
        <w:t xml:space="preserve">1.4. </w:t>
      </w:r>
      <w:r>
        <w:t xml:space="preserve">Политика применяется к персональным данным, которые Оператор получает при использовании сайта Сервиса (далее — Сайт) и размещённого на нём веб-приложения (далее — Приложение), при оформлении Пробного доступа и оплаты доступа через Платёжный сервис, при направлении писем и при обращениях в Службу поддержки. Политика не применяется к сайтам и сервисам третьих лиц, на которые ведут ссылки с Сайта и из Приложения.</w:t>
      </w:r>
    </w:p>
    <w:p>
      <w:r>
        <w:t xml:space="preserve">1.5. </w:t>
      </w:r>
      <w:r>
        <w:t xml:space="preserve">Термины «Сервис», «Материалы», «Тариф», «Учётная запись», «Почта ученика», «Почта для чека», «Код входа», «Служебный номер», «Пробный доступ», «Первый вход», «Срок доступа», «Устройство», «Идентификатор устройства», «Учебные данные», «Резервная копия», «Платёжный сервис», «Служба поддержки», «Запись об акцепте», «Лицензиат», «Пользователь», «Законный представитель» и «Документы» используются в значениях, установленных Публичной офертой (далее — Оферта).</w:t>
      </w:r>
    </w:p>
    <w:p>
      <w:r>
        <w:t xml:space="preserve">1.6. </w:t>
      </w:r>
      <w:r>
        <w:t xml:space="preserve">Оператор обрабатывает персональные данные в соответствии с Конституцией Российской Федерации, Гражданским кодексом РФ, Законом № 152-ФЗ, Федеральным законом от 27.07.2006 № 149-ФЗ «Об информации, информационных технологиях и о защите информации», Законом № 422-ФЗ, Налоговым кодексом РФ, Законом РФ от 07.02.1992 № 2300-1 «О защите прав потребителей» и принятыми в соответствии с ними нормативными актами.</w:t>
      </w:r>
    </w:p>
    <w:p>
      <w:pPr>
        <w:pStyle w:val="Heading2"/>
      </w:pPr>
      <w:r>
        <w:t xml:space="preserve">2. Термины и определения</w:t>
      </w:r>
    </w:p>
    <w:p>
      <w:r>
        <w:t xml:space="preserve">2.1. </w:t>
      </w:r>
      <w:r>
        <w:rPr>
          <w:b/>
          <w:bCs/>
        </w:rPr>
        <w:t xml:space="preserve">Персональные данные</w:t>
      </w:r>
      <w:r>
        <w:t xml:space="preserve"> — любая информация, относящаяся к прямо или косвенно определённому или определяемому физическому лицу (субъекту персональных данных).</w:t>
      </w:r>
    </w:p>
    <w:p>
      <w:r>
        <w:t xml:space="preserve">2.2. </w:t>
      </w:r>
      <w:r>
        <w:rPr>
          <w:b/>
          <w:bCs/>
        </w:rPr>
        <w:t xml:space="preserve">Обработка персональных данных</w:t>
      </w:r>
      <w:r>
        <w:t xml:space="preserve"> — любое действие (операция) или совокупность действий с персональными данными, совершаемых с использованием средств автоматизации или без них,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w:t>
      </w:r>
    </w:p>
    <w:p>
      <w:r>
        <w:t xml:space="preserve">2.3. </w:t>
      </w:r>
      <w:r>
        <w:rPr>
          <w:b/>
          <w:bCs/>
        </w:rPr>
        <w:t xml:space="preserve">Автоматизированная обработка</w:t>
      </w:r>
      <w:r>
        <w:t xml:space="preserve"> — обработка персональных данных с помощью средств вычислительной техники.</w:t>
      </w:r>
    </w:p>
    <w:p>
      <w:r>
        <w:t xml:space="preserve">2.4. </w:t>
      </w:r>
      <w:r>
        <w:rPr>
          <w:b/>
          <w:bCs/>
        </w:rPr>
        <w:t xml:space="preserve">Уничтожение персональных данных</w:t>
      </w:r>
      <w:r>
        <w:t xml:space="preserve"> — действия, в результате которых становится невозможным восстановить содержание персональных данных и (или) уничтожаются их материальные носители.</w:t>
      </w:r>
    </w:p>
    <w:p>
      <w:r>
        <w:t xml:space="preserve">2.5. </w:t>
      </w:r>
      <w:r>
        <w:rPr>
          <w:b/>
          <w:bCs/>
        </w:rPr>
        <w:t xml:space="preserve">Cookie</w:t>
      </w:r>
      <w:r>
        <w:t xml:space="preserve"> — небольшой фрагмент данных, который веб-сервер сохраняет в браузере и который браузер передаёт серверу при последующих запросах. </w:t>
      </w:r>
      <w:r>
        <w:rPr>
          <w:b/>
          <w:bCs/>
        </w:rPr>
        <w:t xml:space="preserve">Локальное хранилище</w:t>
      </w:r>
      <w:r>
        <w:t xml:space="preserve"> — механизмы браузера (localStorage, sessionStorage, IndexedDB), позволяющие сохранять данные на Устройстве.</w:t>
      </w:r>
    </w:p>
    <w:p>
      <w:r>
        <w:t xml:space="preserve">2.6. </w:t>
      </w:r>
      <w:r>
        <w:rPr>
          <w:b/>
          <w:bCs/>
        </w:rPr>
        <w:t xml:space="preserve">Хэширование</w:t>
      </w:r>
      <w:r>
        <w:t xml:space="preserve"> — необратимое преобразование данных с помощью криптографической хэш-функции, при котором исходное значение (например, Код входа) не хранится и не может быть восстановлено из результата.</w:t>
      </w:r>
    </w:p>
    <w:p>
      <w:r>
        <w:t xml:space="preserve">2.7. </w:t>
      </w:r>
      <w:r>
        <w:t xml:space="preserve">Иные термины используются в значениях, установленных Законом № 152-ФЗ.</w:t>
      </w:r>
    </w:p>
    <w:p>
      <w:pPr>
        <w:pStyle w:val="Heading2"/>
      </w:pPr>
      <w:r>
        <w:t xml:space="preserve">3. Принципы обработки</w:t>
      </w:r>
    </w:p>
    <w:p>
      <w:r>
        <w:t xml:space="preserve">3.1. </w:t>
      </w:r>
      <w:r>
        <w:t xml:space="preserve">Оператор обрабатывает персональные данные на законной и справедливой основе и соблюдает следующие принципы (статья 5 Закона № 152-ФЗ):</w:t>
      </w:r>
    </w:p>
    <w:p>
      <w:pPr>
        <w:tabs>
          <w:tab w:val="left" w:pos="454"/>
        </w:tabs>
        <w:spacing w:after="0"/>
        <w:ind w:left="454" w:hanging="454"/>
        <w:jc w:val="both"/>
      </w:pPr>
      <w:r>
        <w:t xml:space="preserve">—</w:t>
      </w:r>
      <w:r>
        <w:tab/>
      </w:r>
      <w:r>
        <w:t xml:space="preserve">обработка ограничивается достижением конкретных, заранее определённых и законных целей;</w:t>
      </w:r>
    </w:p>
    <w:p>
      <w:pPr>
        <w:tabs>
          <w:tab w:val="left" w:pos="454"/>
        </w:tabs>
        <w:spacing w:after="0"/>
        <w:ind w:left="454" w:hanging="454"/>
        <w:jc w:val="both"/>
      </w:pPr>
      <w:r>
        <w:t xml:space="preserve">—</w:t>
      </w:r>
      <w:r>
        <w:tab/>
      </w:r>
      <w:r>
        <w:t xml:space="preserve">не допускается обработка, несовместимая с целями сбора, и объединение баз данных, обрабатываемых в несовместимых целях;</w:t>
      </w:r>
    </w:p>
    <w:p>
      <w:pPr>
        <w:tabs>
          <w:tab w:val="left" w:pos="454"/>
        </w:tabs>
        <w:spacing w:after="0"/>
        <w:ind w:left="454" w:hanging="454"/>
        <w:jc w:val="both"/>
      </w:pPr>
      <w:r>
        <w:t xml:space="preserve">—</w:t>
      </w:r>
      <w:r>
        <w:tab/>
      </w:r>
      <w:r>
        <w:t xml:space="preserve">обрабатываются только данные, которые отвечают целям обработки; их содержание и объём не избыточны;</w:t>
      </w:r>
    </w:p>
    <w:p>
      <w:pPr>
        <w:tabs>
          <w:tab w:val="left" w:pos="454"/>
        </w:tabs>
        <w:spacing w:after="0"/>
        <w:ind w:left="454" w:hanging="454"/>
        <w:jc w:val="both"/>
      </w:pPr>
      <w:r>
        <w:t xml:space="preserve">—</w:t>
      </w:r>
      <w:r>
        <w:tab/>
      </w:r>
      <w:r>
        <w:t xml:space="preserve">обеспечиваются точность и достаточность данных, а при необходимости — их актуальность;</w:t>
      </w:r>
    </w:p>
    <w:p>
      <w:pPr>
        <w:tabs>
          <w:tab w:val="left" w:pos="454"/>
        </w:tabs>
        <w:spacing w:after="0"/>
        <w:ind w:left="454" w:hanging="454"/>
        <w:jc w:val="both"/>
      </w:pPr>
      <w:r>
        <w:t xml:space="preserve">—</w:t>
      </w:r>
      <w:r>
        <w:tab/>
      </w:r>
      <w:r>
        <w:t xml:space="preserve">данные хранятся в форме, позволяющей определить субъекта, не дольше, чем этого требуют цели обработки или закон, и уничтожаются по достижении целей.</w:t>
      </w:r>
    </w:p>
    <w:p>
      <w:r>
        <w:t xml:space="preserve">3.2. </w:t>
      </w:r>
      <w:r>
        <w:t xml:space="preserve">Минимизация данных заложена в устройство Сервиса: пароли не используются, для входа нужен только адрес электронной почты (Почта ученика); имя, номер телефона и документы для доступа не запрашиваются; Почта для чека запрашивается только при оплате; Коды входа хранятся только в хэшированном виде; полный номер карты и CVC Оператору не поступают; на сервер передаются только Учебные данные, необходимые для общего прогресса на Устройствах, а Материалы, настройки внешнего вида Приложения и отдельные отметки интерфейса (например, «прочитано» в теории) остаются в браузере.</w:t>
      </w:r>
    </w:p>
    <w:p>
      <w:pPr>
        <w:pStyle w:val="Heading2"/>
      </w:pPr>
      <w:r>
        <w:t xml:space="preserve">4. Правовые основания обработки</w:t>
      </w:r>
    </w:p>
    <w:p>
      <w:r>
        <w:t xml:space="preserve">4.1. </w:t>
      </w:r>
      <w:r>
        <w:t xml:space="preserve">Основным основанием обработки всех персональных данных, перечисленных в разделе 5, является заключение и исполнение договора — Оферты и Пользовательского соглашения, — стороной или выгодоприобретателем по которому является субъект персональных данных (пункт 5 части 1 статьи 6 Закона № 152-ФЗ).</w:t>
      </w:r>
    </w:p>
    <w:p>
      <w:r>
        <w:t xml:space="preserve">4.2. </w:t>
      </w:r>
      <w:r>
        <w:t xml:space="preserve">Технические журналы, журнал событий безопасности, меры защиты от подбора Кодов входа и хранение Записей об акцепте для доказывания заключения договора основаны также на необходимости осуществления прав и законных интересов Оператора при условии, что не нарушаются права и свободы субъекта (пункт 7 части 1 статьи 6 Закона № 152-ФЗ).</w:t>
      </w:r>
    </w:p>
    <w:p>
      <w:r>
        <w:t xml:space="preserve">4.3. </w:t>
      </w:r>
      <w:r>
        <w:t xml:space="preserve">Сведения о платежах, возвратах и чеках обрабатываются также во исполнение обязанностей, возложенных на Оператора законом (пункт 2 части 1 статьи 6 Закона № 152-ФЗ): Налоговым кодексом РФ и Законом № 422-ФЗ. Ответы на запросы субъектов персональных данных даются во исполнение Закона № 152-ФЗ.</w:t>
      </w:r>
    </w:p>
    <w:p>
      <w:r>
        <w:t xml:space="preserve">4.4. </w:t>
      </w:r>
      <w:r>
        <w:t xml:space="preserve">Согласие субъекта персональных данных или его Законного представителя (пункт 1 части 1 статьи 6 Закона № 152-ФЗ) является основанием обработки только в случаях, перечисленных в Согласии на обработку персональных данных (далее — Согласие): согласие Законного представителя за ребёнка младше 14 лет; обработка Резервной копии, приложенной к обращению; необязательные цели, которые могут появиться в будущем (например, информационные рассылки). При входе в Приложение согласие не запрашивается. Отметка о принятии Оферты и Пользовательского соглашения и информационная строка об ознакомлении с Политикой согласием на обработку персональных данных не являются.</w:t>
      </w:r>
    </w:p>
    <w:p>
      <w:r>
        <w:t xml:space="preserve">4.5. </w:t>
      </w:r>
      <w:r>
        <w:t xml:space="preserve">Отзыв согласия не препятствует обработке, если она осуществляется на иных основаниях из числа указанных в пунктах 2–11 части 1 статьи 6 Закона № 152-ФЗ (часть 2 статьи 9 Закона № 152-ФЗ).</w:t>
      </w:r>
    </w:p>
    <w:p>
      <w:pPr>
        <w:pStyle w:val="Heading2"/>
      </w:pPr>
      <w:r>
        <w:t xml:space="preserve">5. Цели, состав данных и сроки</w:t>
      </w:r>
    </w:p>
    <w:p>
      <w:r>
        <w:t xml:space="preserve">5.1. </w:t>
      </w:r>
      <w:r>
        <w:t xml:space="preserve">Категории субъектов персональных данных: посетители Сайта; Пользователи Приложения, включая несовершеннолетних и лиц с Пробным доступом; Лицензиаты (покупатели доступа), включая Законных представителей; лица, обращающиеся в Службу поддержки. Почту ученика Оператор может получить не от самого Пользователя, а от Лицензиата (например, от родителя или лица, оформившего доступ в подарок); в этом случае Пользователь является выгодоприобретателем по Оферте. Специальные категории персональных данных (статья 10 Закона № 152-ФЗ) и биометрические персональные данные (статья 11 Закона № 152-ФЗ) не обрабатываются.</w:t>
      </w:r>
    </w:p>
    <w:p>
      <w:r>
        <w:t xml:space="preserve">5.2. </w:t>
      </w:r>
      <w:r>
        <w:t xml:space="preserve">Цели обработки, перечень данных, основания и сроки:</w:t>
      </w:r>
    </w:p>
    <w:tbl>
      <w:tblPr>
        <w:tblStyle w:val="TableGrid"/>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00" w:type="dxa"/>
          <w:bottom w:w="40" w:type="dxa"/>
          <w:right w:w="100" w:type="dxa"/>
        </w:tblCellMar>
      </w:tblPr>
      <w:tblGrid>
        <w:gridCol w:w="2008"/>
        <w:gridCol w:w="1800"/>
        <w:gridCol w:w="2215"/>
        <w:gridCol w:w="1280"/>
        <w:gridCol w:w="2052"/>
      </w:tblGrid>
      <w:tr>
        <w:trPr>
          <w:cantSplit/>
          <w:tblHeader/>
        </w:trPr>
        <w:tc>
          <w:tcPr>
            <w:tcW w:w="2008" w:type="dxa"/>
            <w:shd w:val="clear" w:color="auto" w:fill="D9D9D9"/>
          </w:tcPr>
          <w:p>
            <w:pPr>
              <w:spacing w:after="40" w:line="240" w:lineRule="auto"/>
              <w:jc w:val="left"/>
              <w:rPr>
                <w:sz w:val="20"/>
                <w:szCs w:val="20"/>
              </w:rPr>
            </w:pPr>
            <w:r>
              <w:rPr>
                <w:b/>
                <w:bCs/>
                <w:sz w:val="20"/>
                <w:szCs w:val="20"/>
              </w:rPr>
              <w:t xml:space="preserve">Цель</w:t>
            </w:r>
          </w:p>
        </w:tc>
        <w:tc>
          <w:tcPr>
            <w:tcW w:w="1800" w:type="dxa"/>
            <w:shd w:val="clear" w:color="auto" w:fill="D9D9D9"/>
          </w:tcPr>
          <w:p>
            <w:pPr>
              <w:spacing w:after="40" w:line="240" w:lineRule="auto"/>
              <w:jc w:val="left"/>
              <w:rPr>
                <w:sz w:val="20"/>
                <w:szCs w:val="20"/>
              </w:rPr>
            </w:pPr>
            <w:r>
              <w:rPr>
                <w:b/>
                <w:bCs/>
                <w:sz w:val="20"/>
                <w:szCs w:val="20"/>
              </w:rPr>
              <w:t xml:space="preserve">Субъекты</w:t>
            </w:r>
          </w:p>
        </w:tc>
        <w:tc>
          <w:tcPr>
            <w:tcW w:w="2215" w:type="dxa"/>
            <w:shd w:val="clear" w:color="auto" w:fill="D9D9D9"/>
          </w:tcPr>
          <w:p>
            <w:pPr>
              <w:spacing w:after="40" w:line="240" w:lineRule="auto"/>
              <w:jc w:val="left"/>
              <w:rPr>
                <w:sz w:val="20"/>
                <w:szCs w:val="20"/>
              </w:rPr>
            </w:pPr>
            <w:r>
              <w:rPr>
                <w:b/>
                <w:bCs/>
                <w:sz w:val="20"/>
                <w:szCs w:val="20"/>
              </w:rPr>
              <w:t xml:space="preserve">Перечень данных</w:t>
            </w:r>
          </w:p>
        </w:tc>
        <w:tc>
          <w:tcPr>
            <w:tcW w:w="1280" w:type="dxa"/>
            <w:shd w:val="clear" w:color="auto" w:fill="D9D9D9"/>
          </w:tcPr>
          <w:p>
            <w:pPr>
              <w:spacing w:after="40" w:line="240" w:lineRule="auto"/>
              <w:jc w:val="left"/>
              <w:rPr>
                <w:sz w:val="20"/>
                <w:szCs w:val="20"/>
              </w:rPr>
            </w:pPr>
            <w:r>
              <w:rPr>
                <w:b/>
                <w:bCs/>
                <w:sz w:val="20"/>
                <w:szCs w:val="20"/>
              </w:rPr>
              <w:t xml:space="preserve">Основание (ч. 1 ст. 6 Закона № 152-ФЗ)</w:t>
            </w:r>
          </w:p>
        </w:tc>
        <w:tc>
          <w:tcPr>
            <w:tcW w:w="2052" w:type="dxa"/>
            <w:shd w:val="clear" w:color="auto" w:fill="D9D9D9"/>
          </w:tcPr>
          <w:p>
            <w:pPr>
              <w:spacing w:after="40" w:line="240" w:lineRule="auto"/>
              <w:jc w:val="left"/>
              <w:rPr>
                <w:sz w:val="20"/>
                <w:szCs w:val="20"/>
              </w:rPr>
            </w:pPr>
            <w:r>
              <w:rPr>
                <w:b/>
                <w:bCs/>
                <w:sz w:val="20"/>
                <w:szCs w:val="20"/>
              </w:rPr>
              <w:t xml:space="preserve">Срок обработки и хранения</w:t>
            </w:r>
          </w:p>
        </w:tc>
      </w:tr>
      <w:tr>
        <w:tc>
          <w:tcPr>
            <w:tcW w:w="2008" w:type="dxa"/>
          </w:tcPr>
          <w:p>
            <w:pPr>
              <w:spacing w:after="40" w:line="240" w:lineRule="auto"/>
              <w:jc w:val="left"/>
              <w:rPr>
                <w:sz w:val="20"/>
                <w:szCs w:val="20"/>
              </w:rPr>
            </w:pPr>
            <w:r>
              <w:rPr>
                <w:sz w:val="20"/>
                <w:szCs w:val="20"/>
              </w:rPr>
              <w:t xml:space="preserve">1. Предоставление доступа к Приложению через Учётную запись, исполнение Оферты и направление писем об открытии и окончании доступа</w:t>
            </w:r>
          </w:p>
        </w:tc>
        <w:tc>
          <w:tcPr>
            <w:tcW w:w="1800" w:type="dxa"/>
          </w:tcPr>
          <w:p>
            <w:pPr>
              <w:spacing w:after="40" w:line="240" w:lineRule="auto"/>
              <w:jc w:val="left"/>
              <w:rPr>
                <w:sz w:val="20"/>
                <w:szCs w:val="20"/>
              </w:rPr>
            </w:pPr>
            <w:r>
              <w:rPr>
                <w:sz w:val="20"/>
                <w:szCs w:val="20"/>
              </w:rPr>
              <w:t xml:space="preserve">Пользователи, Лицензиаты</w:t>
            </w:r>
          </w:p>
        </w:tc>
        <w:tc>
          <w:tcPr>
            <w:tcW w:w="2215" w:type="dxa"/>
          </w:tcPr>
          <w:p>
            <w:pPr>
              <w:spacing w:after="40" w:line="240" w:lineRule="auto"/>
              <w:jc w:val="left"/>
              <w:rPr>
                <w:sz w:val="20"/>
                <w:szCs w:val="20"/>
              </w:rPr>
            </w:pPr>
            <w:r>
              <w:rPr>
                <w:sz w:val="20"/>
                <w:szCs w:val="20"/>
              </w:rPr>
              <w:t xml:space="preserve">Почта ученика; Служебный номер; Тариф, Срок доступа, даты создания Учётной записи, начала и окончания доступа, дата предоставления Пробного доступа, сведения о направленных письмах об окончании доступа; заметка Службы поддержки к Учётной записи; отметка о закрытии доступа; дата последней смены Устройства; Идентификаторы устройств, привязанных к Учётной записи, тип Устройства, сведения о браузере (user-agent) и их подпись в хэшированном виде, даты первого и последнего входа с каждого Устройства, сведения о том, на каком Устройстве идёт занятие; время последнего открытия Приложения; идентификатор сессии (cookie)</w:t>
            </w:r>
          </w:p>
        </w:tc>
        <w:tc>
          <w:tcPr>
            <w:tcW w:w="1280" w:type="dxa"/>
          </w:tcPr>
          <w:p>
            <w:pPr>
              <w:spacing w:after="40" w:line="240" w:lineRule="auto"/>
              <w:jc w:val="left"/>
              <w:rPr>
                <w:sz w:val="20"/>
                <w:szCs w:val="20"/>
              </w:rPr>
            </w:pPr>
            <w:r>
              <w:rPr>
                <w:sz w:val="20"/>
                <w:szCs w:val="20"/>
              </w:rPr>
              <w:t xml:space="preserve">п. 5</w:t>
            </w:r>
          </w:p>
        </w:tc>
        <w:tc>
          <w:tcPr>
            <w:tcW w:w="2052" w:type="dxa"/>
          </w:tcPr>
          <w:p>
            <w:pPr>
              <w:spacing w:after="40" w:line="240" w:lineRule="auto"/>
              <w:jc w:val="left"/>
              <w:rPr>
                <w:sz w:val="20"/>
                <w:szCs w:val="20"/>
              </w:rPr>
            </w:pPr>
            <w:r>
              <w:rPr>
                <w:sz w:val="20"/>
                <w:szCs w:val="20"/>
              </w:rPr>
              <w:t xml:space="preserve">Срок доступа и 3 года после его окончания (срок исковой давности, ст. 196 ГК РФ), в том числе для Учётных записей только с Пробным доступом; раньше — при удалении Учётной записи по запросу (пункт 6.4); cookie сессии — до 400 дней с входа на Устройстве, удаляется при выходе из Учётной записи</w:t>
            </w:r>
          </w:p>
        </w:tc>
      </w:tr>
      <w:tr>
        <w:tc>
          <w:tcPr>
            <w:tcW w:w="2008" w:type="dxa"/>
          </w:tcPr>
          <w:p>
            <w:pPr>
              <w:spacing w:after="40" w:line="240" w:lineRule="auto"/>
              <w:jc w:val="left"/>
              <w:rPr>
                <w:sz w:val="20"/>
                <w:szCs w:val="20"/>
              </w:rPr>
            </w:pPr>
            <w:r>
              <w:rPr>
                <w:sz w:val="20"/>
                <w:szCs w:val="20"/>
              </w:rPr>
              <w:t xml:space="preserve">2. Вход в Учётную запись по Коду входа и предоставление Пробного доступа</w:t>
            </w:r>
          </w:p>
        </w:tc>
        <w:tc>
          <w:tcPr>
            <w:tcW w:w="1800" w:type="dxa"/>
          </w:tcPr>
          <w:p>
            <w:pPr>
              <w:spacing w:after="40" w:line="240" w:lineRule="auto"/>
              <w:jc w:val="left"/>
              <w:rPr>
                <w:sz w:val="20"/>
                <w:szCs w:val="20"/>
              </w:rPr>
            </w:pPr>
            <w:r>
              <w:rPr>
                <w:sz w:val="20"/>
                <w:szCs w:val="20"/>
              </w:rPr>
              <w:t xml:space="preserve">Пользователи, лица, запросившие Код входа или Пробный доступ</w:t>
            </w:r>
          </w:p>
        </w:tc>
        <w:tc>
          <w:tcPr>
            <w:tcW w:w="2215" w:type="dxa"/>
          </w:tcPr>
          <w:p>
            <w:pPr>
              <w:spacing w:after="40" w:line="240" w:lineRule="auto"/>
              <w:jc w:val="left"/>
              <w:rPr>
                <w:sz w:val="20"/>
                <w:szCs w:val="20"/>
              </w:rPr>
            </w:pPr>
            <w:r>
              <w:rPr>
                <w:sz w:val="20"/>
                <w:szCs w:val="20"/>
              </w:rPr>
              <w:t xml:space="preserve">Адрес электронной почты, на который запрошен Код входа; Код входа в хэшированном виде; цель запроса (вход или Пробный доступ); время запроса и срок действия кода; число попыток ввода; отметка об использовании кода</w:t>
            </w:r>
          </w:p>
        </w:tc>
        <w:tc>
          <w:tcPr>
            <w:tcW w:w="1280" w:type="dxa"/>
          </w:tcPr>
          <w:p>
            <w:pPr>
              <w:spacing w:after="40" w:line="240" w:lineRule="auto"/>
              <w:jc w:val="left"/>
              <w:rPr>
                <w:sz w:val="20"/>
                <w:szCs w:val="20"/>
              </w:rPr>
            </w:pPr>
            <w:r>
              <w:rPr>
                <w:sz w:val="20"/>
                <w:szCs w:val="20"/>
              </w:rPr>
              <w:t xml:space="preserve">п. 5 и 7</w:t>
            </w:r>
          </w:p>
        </w:tc>
        <w:tc>
          <w:tcPr>
            <w:tcW w:w="2052" w:type="dxa"/>
          </w:tcPr>
          <w:p>
            <w:pPr>
              <w:spacing w:after="40" w:line="240" w:lineRule="auto"/>
              <w:jc w:val="left"/>
              <w:rPr>
                <w:sz w:val="20"/>
                <w:szCs w:val="20"/>
              </w:rPr>
            </w:pPr>
            <w:r>
              <w:rPr>
                <w:sz w:val="20"/>
                <w:szCs w:val="20"/>
              </w:rPr>
              <w:t xml:space="preserve">Код входа действует 15 минут, после чего не может быть использован; сведения о запросе кода — не более 2 суток с момента запроса; записи о запросах и проверках кодов в журнале событий — в срок, указанный для цели 5</w:t>
            </w:r>
          </w:p>
        </w:tc>
      </w:tr>
      <w:tr>
        <w:tc>
          <w:tcPr>
            <w:tcW w:w="2008" w:type="dxa"/>
          </w:tcPr>
          <w:p>
            <w:pPr>
              <w:spacing w:after="40" w:line="240" w:lineRule="auto"/>
              <w:jc w:val="left"/>
              <w:rPr>
                <w:sz w:val="20"/>
                <w:szCs w:val="20"/>
              </w:rPr>
            </w:pPr>
            <w:r>
              <w:rPr>
                <w:sz w:val="20"/>
                <w:szCs w:val="20"/>
              </w:rPr>
              <w:t xml:space="preserve">3. Общий прогресс на Устройствах, привязанных к Учётной записи (хранение Учебных данных на сервере)</w:t>
            </w:r>
          </w:p>
        </w:tc>
        <w:tc>
          <w:tcPr>
            <w:tcW w:w="1800" w:type="dxa"/>
          </w:tcPr>
          <w:p>
            <w:pPr>
              <w:spacing w:after="40" w:line="240" w:lineRule="auto"/>
              <w:jc w:val="left"/>
              <w:rPr>
                <w:sz w:val="20"/>
                <w:szCs w:val="20"/>
              </w:rPr>
            </w:pPr>
            <w:r>
              <w:rPr>
                <w:sz w:val="20"/>
                <w:szCs w:val="20"/>
              </w:rPr>
              <w:t xml:space="preserve">Пользователи</w:t>
            </w:r>
          </w:p>
        </w:tc>
        <w:tc>
          <w:tcPr>
            <w:tcW w:w="2215" w:type="dxa"/>
          </w:tcPr>
          <w:p>
            <w:pPr>
              <w:spacing w:after="40" w:line="240" w:lineRule="auto"/>
              <w:jc w:val="left"/>
              <w:rPr>
                <w:sz w:val="20"/>
                <w:szCs w:val="20"/>
              </w:rPr>
            </w:pPr>
            <w:r>
              <w:rPr>
                <w:sz w:val="20"/>
                <w:szCs w:val="20"/>
              </w:rPr>
              <w:t xml:space="preserve">Учебные данные: ответы на задания и их результаты, самооценка решений, результаты пробных вариантов экзамена, сведения о занятиях (даты, продолжительность), состояние изучения тем, карточки повторения, персональный план, заметки, ответы анкеты (имя — если Пользователь его указал, дата экзамена, цели, предметы, самооценка уровня подготовки, трудные предметы, удобное время, число дней в неделю, время занятий в день и интенсивность занятий), расписание недели (в том числе события вне Сервиса, например «школа» или «спорт», — их названия, дни и время), настройки занятий, рассчитанные Приложением показатели обучения (например, темп, точность, скорость забывания, типичные ошибки) и параметры подбора плана, накопленные сведения о том, как Пользователь пользуется теорией и подсказками (для подбора подачи материала); время изменения записей</w:t>
            </w:r>
          </w:p>
        </w:tc>
        <w:tc>
          <w:tcPr>
            <w:tcW w:w="1280" w:type="dxa"/>
          </w:tcPr>
          <w:p>
            <w:pPr>
              <w:spacing w:after="40" w:line="240" w:lineRule="auto"/>
              <w:jc w:val="left"/>
              <w:rPr>
                <w:sz w:val="20"/>
                <w:szCs w:val="20"/>
              </w:rPr>
            </w:pPr>
            <w:r>
              <w:rPr>
                <w:sz w:val="20"/>
                <w:szCs w:val="20"/>
              </w:rPr>
              <w:t xml:space="preserve">п. 5</w:t>
            </w:r>
          </w:p>
        </w:tc>
        <w:tc>
          <w:tcPr>
            <w:tcW w:w="2052" w:type="dxa"/>
          </w:tcPr>
          <w:p>
            <w:pPr>
              <w:spacing w:after="40" w:line="240" w:lineRule="auto"/>
              <w:jc w:val="left"/>
              <w:rPr>
                <w:sz w:val="20"/>
                <w:szCs w:val="20"/>
              </w:rPr>
            </w:pPr>
            <w:r>
              <w:rPr>
                <w:sz w:val="20"/>
                <w:szCs w:val="20"/>
              </w:rPr>
              <w:t xml:space="preserve">Срок доступа и 3 года после его окончания; раньше — при удалении Учётной записи по запросу субъекта или его Законного представителя; результаты занятий, рассчитанные показатели и параметры подбора плана — также при сбросе прогресса в Приложении; заметки и события расписания — также при их удалении Пользователем в Приложении (пункт 6.4)</w:t>
            </w:r>
          </w:p>
        </w:tc>
      </w:tr>
      <w:tr>
        <w:tc>
          <w:tcPr>
            <w:tcW w:w="2008" w:type="dxa"/>
          </w:tcPr>
          <w:p>
            <w:pPr>
              <w:spacing w:after="40" w:line="240" w:lineRule="auto"/>
              <w:jc w:val="left"/>
              <w:rPr>
                <w:sz w:val="20"/>
                <w:szCs w:val="20"/>
              </w:rPr>
            </w:pPr>
            <w:r>
              <w:rPr>
                <w:sz w:val="20"/>
                <w:szCs w:val="20"/>
              </w:rPr>
              <w:t xml:space="preserve">4. Фиксация акцепта Документов и подтверждение заключения договора</w:t>
            </w:r>
          </w:p>
        </w:tc>
        <w:tc>
          <w:tcPr>
            <w:tcW w:w="1800" w:type="dxa"/>
          </w:tcPr>
          <w:p>
            <w:pPr>
              <w:spacing w:after="40" w:line="240" w:lineRule="auto"/>
              <w:jc w:val="left"/>
              <w:rPr>
                <w:sz w:val="20"/>
                <w:szCs w:val="20"/>
              </w:rPr>
            </w:pPr>
            <w:r>
              <w:rPr>
                <w:sz w:val="20"/>
                <w:szCs w:val="20"/>
              </w:rPr>
              <w:t xml:space="preserve">Пользователи, Лицензиаты</w:t>
            </w:r>
          </w:p>
        </w:tc>
        <w:tc>
          <w:tcPr>
            <w:tcW w:w="2215" w:type="dxa"/>
          </w:tcPr>
          <w:p>
            <w:pPr>
              <w:spacing w:after="40" w:line="240" w:lineRule="auto"/>
              <w:jc w:val="left"/>
              <w:rPr>
                <w:sz w:val="20"/>
                <w:szCs w:val="20"/>
              </w:rPr>
            </w:pPr>
            <w:r>
              <w:rPr>
                <w:sz w:val="20"/>
                <w:szCs w:val="20"/>
              </w:rPr>
              <w:t xml:space="preserve">Запись об акцепте: при оплате — дата и время, IP-адрес, user-agent, Почта ученика, Почта для чека, Тариф, редакция Оферты, отметка о принятии её условий; при Первом входе — дата и время, IP-адрес, user-agent, Учётная запись, Идентификатор устройства, редакции Документов, сведения о двух проставленных отметках; после удаления Учётной записи по запросу — служебная запись о ней без адреса электронной почты (номер, даты, отметка об удалении)</w:t>
            </w:r>
          </w:p>
        </w:tc>
        <w:tc>
          <w:tcPr>
            <w:tcW w:w="1280" w:type="dxa"/>
          </w:tcPr>
          <w:p>
            <w:pPr>
              <w:spacing w:after="40" w:line="240" w:lineRule="auto"/>
              <w:jc w:val="left"/>
              <w:rPr>
                <w:sz w:val="20"/>
                <w:szCs w:val="20"/>
              </w:rPr>
            </w:pPr>
            <w:r>
              <w:rPr>
                <w:sz w:val="20"/>
                <w:szCs w:val="20"/>
              </w:rPr>
              <w:t xml:space="preserve">п. 5 и 7</w:t>
            </w:r>
          </w:p>
        </w:tc>
        <w:tc>
          <w:tcPr>
            <w:tcW w:w="2052" w:type="dxa"/>
          </w:tcPr>
          <w:p>
            <w:pPr>
              <w:spacing w:after="40" w:line="240" w:lineRule="auto"/>
              <w:jc w:val="left"/>
              <w:rPr>
                <w:sz w:val="20"/>
                <w:szCs w:val="20"/>
              </w:rPr>
            </w:pPr>
            <w:r>
              <w:rPr>
                <w:sz w:val="20"/>
                <w:szCs w:val="20"/>
              </w:rPr>
              <w:t xml:space="preserve">3 года после окончания Срока доступа; сведения об акцепте при оплате, входящие в запись о платеже, — в сроки, указанные для цели 6</w:t>
            </w:r>
          </w:p>
        </w:tc>
      </w:tr>
      <w:tr>
        <w:tc>
          <w:tcPr>
            <w:tcW w:w="2008" w:type="dxa"/>
          </w:tcPr>
          <w:p>
            <w:pPr>
              <w:spacing w:after="40" w:line="240" w:lineRule="auto"/>
              <w:jc w:val="left"/>
              <w:rPr>
                <w:sz w:val="20"/>
                <w:szCs w:val="20"/>
              </w:rPr>
            </w:pPr>
            <w:r>
              <w:rPr>
                <w:sz w:val="20"/>
                <w:szCs w:val="20"/>
              </w:rPr>
              <w:t xml:space="preserve">5. Обеспечение безопасности и работоспособности Сервиса, защита от подбора Кодов входа и злоупотреблений</w:t>
            </w:r>
          </w:p>
        </w:tc>
        <w:tc>
          <w:tcPr>
            <w:tcW w:w="1800" w:type="dxa"/>
          </w:tcPr>
          <w:p>
            <w:pPr>
              <w:spacing w:after="40" w:line="240" w:lineRule="auto"/>
              <w:jc w:val="left"/>
              <w:rPr>
                <w:sz w:val="20"/>
                <w:szCs w:val="20"/>
              </w:rPr>
            </w:pPr>
            <w:r>
              <w:rPr>
                <w:sz w:val="20"/>
                <w:szCs w:val="20"/>
              </w:rPr>
              <w:t xml:space="preserve">Посетители, Пользователи</w:t>
            </w:r>
          </w:p>
        </w:tc>
        <w:tc>
          <w:tcPr>
            <w:tcW w:w="2215" w:type="dxa"/>
          </w:tcPr>
          <w:p>
            <w:pPr>
              <w:spacing w:after="40" w:line="240" w:lineRule="auto"/>
              <w:jc w:val="left"/>
              <w:rPr>
                <w:sz w:val="20"/>
                <w:szCs w:val="20"/>
              </w:rPr>
            </w:pPr>
            <w:r>
              <w:rPr>
                <w:sz w:val="20"/>
                <w:szCs w:val="20"/>
              </w:rPr>
              <w:t xml:space="preserve">Технические журналы веб-сервера: IP-адрес, дата и время запроса, запрошенный адрес, код ответа, объём ответа, адрес ссылающейся страницы, user-agent. Журнал событий: запросы и проверки Кодов входа (без самих кодов), в том числе неудачные, с IP-адресом; превышение лимитов; привязка, смена и освобождение Устройств; выход из Учётной записи; принятие Документов; начало Пробного доступа; оплаты и их проверка; сброс прогресса; сбои отправки писем; действия Оператора по обращениям в Службу поддержки (изменение Срока доступа, смена адреса электронной почты, освобождение Устройств, закрытие доступа, удаление Учётной записи, проверка платежа) — такие записи делаются без IP-адреса</w:t>
            </w:r>
          </w:p>
        </w:tc>
        <w:tc>
          <w:tcPr>
            <w:tcW w:w="1280" w:type="dxa"/>
          </w:tcPr>
          <w:p>
            <w:pPr>
              <w:spacing w:after="40" w:line="240" w:lineRule="auto"/>
              <w:jc w:val="left"/>
              <w:rPr>
                <w:sz w:val="20"/>
                <w:szCs w:val="20"/>
              </w:rPr>
            </w:pPr>
            <w:r>
              <w:rPr>
                <w:sz w:val="20"/>
                <w:szCs w:val="20"/>
              </w:rPr>
              <w:t xml:space="preserve">п. 7</w:t>
            </w:r>
          </w:p>
        </w:tc>
        <w:tc>
          <w:tcPr>
            <w:tcW w:w="2052" w:type="dxa"/>
          </w:tcPr>
          <w:p>
            <w:pPr>
              <w:spacing w:after="40" w:line="240" w:lineRule="auto"/>
              <w:jc w:val="left"/>
              <w:rPr>
                <w:sz w:val="20"/>
                <w:szCs w:val="20"/>
              </w:rPr>
            </w:pPr>
            <w:r>
              <w:rPr>
                <w:sz w:val="20"/>
                <w:szCs w:val="20"/>
              </w:rPr>
              <w:t xml:space="preserve">не более 12 месяцев с момента записи; при выявлении инцидента — до завершения его разбирательства</w:t>
            </w:r>
          </w:p>
        </w:tc>
      </w:tr>
      <w:tr>
        <w:tc>
          <w:tcPr>
            <w:tcW w:w="2008" w:type="dxa"/>
          </w:tcPr>
          <w:p>
            <w:pPr>
              <w:spacing w:after="40" w:line="240" w:lineRule="auto"/>
              <w:jc w:val="left"/>
              <w:rPr>
                <w:sz w:val="20"/>
                <w:szCs w:val="20"/>
              </w:rPr>
            </w:pPr>
            <w:r>
              <w:rPr>
                <w:sz w:val="20"/>
                <w:szCs w:val="20"/>
              </w:rPr>
              <w:t xml:space="preserve">6. Оплата доступа, открытие доступа по оплате и направление чеков</w:t>
            </w:r>
          </w:p>
        </w:tc>
        <w:tc>
          <w:tcPr>
            <w:tcW w:w="1800" w:type="dxa"/>
          </w:tcPr>
          <w:p>
            <w:pPr>
              <w:spacing w:after="40" w:line="240" w:lineRule="auto"/>
              <w:jc w:val="left"/>
              <w:rPr>
                <w:sz w:val="20"/>
                <w:szCs w:val="20"/>
              </w:rPr>
            </w:pPr>
            <w:r>
              <w:rPr>
                <w:sz w:val="20"/>
                <w:szCs w:val="20"/>
              </w:rPr>
              <w:t xml:space="preserve">Лицензиаты (плательщики), Пользователи</w:t>
            </w:r>
          </w:p>
        </w:tc>
        <w:tc>
          <w:tcPr>
            <w:tcW w:w="2215" w:type="dxa"/>
          </w:tcPr>
          <w:p>
            <w:pPr>
              <w:spacing w:after="40" w:line="240" w:lineRule="auto"/>
              <w:jc w:val="left"/>
              <w:rPr>
                <w:sz w:val="20"/>
                <w:szCs w:val="20"/>
              </w:rPr>
            </w:pPr>
            <w:r>
              <w:rPr>
                <w:sz w:val="20"/>
                <w:szCs w:val="20"/>
              </w:rPr>
              <w:t xml:space="preserve">Почта ученика; Почта для чека (если отличается); выбранный Тариф; номер заказа; начало и конец периода, оплаченного платежом; идентификатор платежа в Платёжном сервисе, сумма, дата и время, статус платежа; IP-адрес и user-agent при оформлении оплаты; дата удаления Учётной записи и отметка о том, открывалось ли Приложение после начала оплаченного периода (для расчёта возврата); сведения о возвратах; номер и дата чека. Полный номер карты и CVC Оператору не передаются; сведения о карте в маскированном виде, которые может вернуть Платёжный сервис, Оператор не сохраняет</w:t>
            </w:r>
          </w:p>
        </w:tc>
        <w:tc>
          <w:tcPr>
            <w:tcW w:w="1280" w:type="dxa"/>
          </w:tcPr>
          <w:p>
            <w:pPr>
              <w:spacing w:after="40" w:line="240" w:lineRule="auto"/>
              <w:jc w:val="left"/>
              <w:rPr>
                <w:sz w:val="20"/>
                <w:szCs w:val="20"/>
              </w:rPr>
            </w:pPr>
            <w:r>
              <w:rPr>
                <w:sz w:val="20"/>
                <w:szCs w:val="20"/>
              </w:rPr>
              <w:t xml:space="preserve">п. 5 и 2 (НК РФ, Закон № 422-ФЗ)</w:t>
            </w:r>
          </w:p>
        </w:tc>
        <w:tc>
          <w:tcPr>
            <w:tcW w:w="2052" w:type="dxa"/>
          </w:tcPr>
          <w:p>
            <w:pPr>
              <w:spacing w:after="40" w:line="240" w:lineRule="auto"/>
              <w:jc w:val="left"/>
              <w:rPr>
                <w:sz w:val="20"/>
                <w:szCs w:val="20"/>
              </w:rPr>
            </w:pPr>
            <w:r>
              <w:rPr>
                <w:sz w:val="20"/>
                <w:szCs w:val="20"/>
              </w:rPr>
              <w:t xml:space="preserve">Почта ученика, Почта для чека, IP-адрес и user-agent — Срок доступа и 3 года после его окончания, а по заказу, не связанному с Учётной записью (в том числе после её удаления по запросу), — 3 года с его оформления; остальные сведения о платежах, возвратах и чеках (в том числе период, оплаченный платежом) — 5 лет (пп. 8 п. 1 ст. 23 НК РФ)</w:t>
            </w:r>
          </w:p>
        </w:tc>
      </w:tr>
      <w:tr>
        <w:tc>
          <w:tcPr>
            <w:tcW w:w="2008" w:type="dxa"/>
          </w:tcPr>
          <w:p>
            <w:pPr>
              <w:spacing w:after="40" w:line="240" w:lineRule="auto"/>
              <w:jc w:val="left"/>
              <w:rPr>
                <w:sz w:val="20"/>
                <w:szCs w:val="20"/>
              </w:rPr>
            </w:pPr>
            <w:r>
              <w:rPr>
                <w:sz w:val="20"/>
                <w:szCs w:val="20"/>
              </w:rPr>
              <w:t xml:space="preserve">7. Рассмотрение обращений, претензий, запросов субъектов персональных данных и заявлений правообладателей</w:t>
            </w:r>
          </w:p>
        </w:tc>
        <w:tc>
          <w:tcPr>
            <w:tcW w:w="1800" w:type="dxa"/>
          </w:tcPr>
          <w:p>
            <w:pPr>
              <w:spacing w:after="40" w:line="240" w:lineRule="auto"/>
              <w:jc w:val="left"/>
              <w:rPr>
                <w:sz w:val="20"/>
                <w:szCs w:val="20"/>
              </w:rPr>
            </w:pPr>
            <w:r>
              <w:rPr>
                <w:sz w:val="20"/>
                <w:szCs w:val="20"/>
              </w:rPr>
              <w:t xml:space="preserve">Лица, обращающиеся в Службу поддержки, Законные представители, правообладатели и их представители</w:t>
            </w:r>
          </w:p>
        </w:tc>
        <w:tc>
          <w:tcPr>
            <w:tcW w:w="2215" w:type="dxa"/>
          </w:tcPr>
          <w:p>
            <w:pPr>
              <w:spacing w:after="40" w:line="240" w:lineRule="auto"/>
              <w:jc w:val="left"/>
              <w:rPr>
                <w:sz w:val="20"/>
                <w:szCs w:val="20"/>
              </w:rPr>
            </w:pPr>
            <w:r>
              <w:rPr>
                <w:sz w:val="20"/>
                <w:szCs w:val="20"/>
              </w:rPr>
              <w:t xml:space="preserve">Контакт для ответа (адрес электронной почты, номер телефона или имя пользователя в Telegram, если обращение направлено через Telegram); содержание обращения; Почта ученика или Служебный номер; данные платежа (для возврата и для привязки Учётной записи к другому адресу электронной почты); реквизиты для возврата, если они нужны; сведения, предусмотренные ч. 3 ст. 14 Закона № 152-ФЗ; сведения о заявителе и о его правах, указанные в заявлении правообладателя</w:t>
            </w:r>
          </w:p>
        </w:tc>
        <w:tc>
          <w:tcPr>
            <w:tcW w:w="1280" w:type="dxa"/>
          </w:tcPr>
          <w:p>
            <w:pPr>
              <w:spacing w:after="40" w:line="240" w:lineRule="auto"/>
              <w:jc w:val="left"/>
              <w:rPr>
                <w:sz w:val="20"/>
                <w:szCs w:val="20"/>
              </w:rPr>
            </w:pPr>
            <w:r>
              <w:rPr>
                <w:sz w:val="20"/>
                <w:szCs w:val="20"/>
              </w:rPr>
              <w:t xml:space="preserve">п. 5, 2 и 7</w:t>
            </w:r>
          </w:p>
        </w:tc>
        <w:tc>
          <w:tcPr>
            <w:tcW w:w="2052" w:type="dxa"/>
          </w:tcPr>
          <w:p>
            <w:pPr>
              <w:spacing w:after="40" w:line="240" w:lineRule="auto"/>
              <w:jc w:val="left"/>
              <w:rPr>
                <w:sz w:val="20"/>
                <w:szCs w:val="20"/>
              </w:rPr>
            </w:pPr>
            <w:r>
              <w:rPr>
                <w:sz w:val="20"/>
                <w:szCs w:val="20"/>
              </w:rPr>
              <w:t xml:space="preserve">Обращения — 1 год после ответа; претензии, заявления правообладателей и документы по ним — 3 года после их разрешения</w:t>
            </w:r>
          </w:p>
        </w:tc>
      </w:tr>
      <w:tr>
        <w:tc>
          <w:tcPr>
            <w:tcW w:w="2008" w:type="dxa"/>
          </w:tcPr>
          <w:p>
            <w:pPr>
              <w:spacing w:after="40" w:line="240" w:lineRule="auto"/>
              <w:jc w:val="left"/>
              <w:rPr>
                <w:sz w:val="20"/>
                <w:szCs w:val="20"/>
              </w:rPr>
            </w:pPr>
            <w:r>
              <w:rPr>
                <w:sz w:val="20"/>
                <w:szCs w:val="20"/>
              </w:rPr>
              <w:t xml:space="preserve">8. Изучение Резервной копии, приложенной Пользователем к обращению</w:t>
            </w:r>
          </w:p>
        </w:tc>
        <w:tc>
          <w:tcPr>
            <w:tcW w:w="1800" w:type="dxa"/>
          </w:tcPr>
          <w:p>
            <w:pPr>
              <w:spacing w:after="40" w:line="240" w:lineRule="auto"/>
              <w:jc w:val="left"/>
              <w:rPr>
                <w:sz w:val="20"/>
                <w:szCs w:val="20"/>
              </w:rPr>
            </w:pPr>
            <w:r>
              <w:rPr>
                <w:sz w:val="20"/>
                <w:szCs w:val="20"/>
              </w:rPr>
              <w:t xml:space="preserve">Пользователи, направившие Резервную копию</w:t>
            </w:r>
          </w:p>
        </w:tc>
        <w:tc>
          <w:tcPr>
            <w:tcW w:w="2215" w:type="dxa"/>
          </w:tcPr>
          <w:p>
            <w:pPr>
              <w:spacing w:after="40" w:line="240" w:lineRule="auto"/>
              <w:jc w:val="left"/>
              <w:rPr>
                <w:sz w:val="20"/>
                <w:szCs w:val="20"/>
              </w:rPr>
            </w:pPr>
            <w:r>
              <w:rPr>
                <w:sz w:val="20"/>
                <w:szCs w:val="20"/>
              </w:rPr>
              <w:t xml:space="preserve">Учебные данные, содержащиеся в Резервной копии</w:t>
            </w:r>
          </w:p>
        </w:tc>
        <w:tc>
          <w:tcPr>
            <w:tcW w:w="1280" w:type="dxa"/>
          </w:tcPr>
          <w:p>
            <w:pPr>
              <w:spacing w:after="40" w:line="240" w:lineRule="auto"/>
              <w:jc w:val="left"/>
              <w:rPr>
                <w:sz w:val="20"/>
                <w:szCs w:val="20"/>
              </w:rPr>
            </w:pPr>
            <w:r>
              <w:rPr>
                <w:sz w:val="20"/>
                <w:szCs w:val="20"/>
              </w:rPr>
              <w:t xml:space="preserve">п. 1 (Согласие)</w:t>
            </w:r>
          </w:p>
        </w:tc>
        <w:tc>
          <w:tcPr>
            <w:tcW w:w="2052" w:type="dxa"/>
          </w:tcPr>
          <w:p>
            <w:pPr>
              <w:spacing w:after="40" w:line="240" w:lineRule="auto"/>
              <w:jc w:val="left"/>
              <w:rPr>
                <w:sz w:val="20"/>
                <w:szCs w:val="20"/>
              </w:rPr>
            </w:pPr>
            <w:r>
              <w:rPr>
                <w:sz w:val="20"/>
                <w:szCs w:val="20"/>
              </w:rPr>
              <w:t xml:space="preserve">Удаляется в течение 30 дней после завершения рассмотрения обращения или ранее — при отзыве согласия</w:t>
            </w:r>
          </w:p>
        </w:tc>
      </w:tr>
    </w:tbl>
    <w:p>
      <w:pPr>
        <w:spacing w:before="160"/>
      </w:pPr>
      <w:r>
        <w:t xml:space="preserve">5.3. </w:t>
      </w:r>
      <w:r>
        <w:t xml:space="preserve">По истечении указанных сроков или при достижении цели обработки персональные данные уничтожаются в порядке, предусмотренном разделом 12, если иное не требуется по закону.</w:t>
      </w:r>
    </w:p>
    <w:p>
      <w:r>
        <w:t xml:space="preserve">5.4. </w:t>
      </w:r>
      <w:r>
        <w:t xml:space="preserve">Оператор не направляет рекламных и информационных рассылок, не продаёт персональные данные, не применяет сервисы веб-аналитики и рекламные трекеры (в том числе Google Analytics и Яндекс Метрику) и не формирует профили Пользователей для рекламы. Рассылки могут появиться только с отдельного согласия субъекта. Сервисные письма, необходимые для исполнения Оферты (Коды входа, письма об открытии доступа, о скором окончании и об окончании Срока доступа, чеки), рассылками не являются и направляются без отдельного согласия.</w:t>
      </w:r>
    </w:p>
    <w:p>
      <w:r>
        <w:t xml:space="preserve">5.5. </w:t>
      </w:r>
      <w:r>
        <w:t xml:space="preserve">Сведения о доступе, предоставленном до введения Учётных записей (в период бета-тестирования Сервиса), и связанные с ним Записи об акцепте хранятся в течение 3 лет после окончания такого доступа и затем уничтожаются; журналы того периода — в срок, указанный для цели 5.</w:t>
      </w:r>
    </w:p>
    <w:p>
      <w:pPr>
        <w:pStyle w:val="Heading2"/>
      </w:pPr>
      <w:r>
        <w:t xml:space="preserve">6. Учебные данные: на устройстве и на сервере</w:t>
      </w:r>
    </w:p>
    <w:p>
      <w:r>
        <w:t xml:space="preserve">6.1. </w:t>
      </w:r>
      <w:r>
        <w:t xml:space="preserve">Учебные данные — сведения о том, как Пользователь готовится к экзамену (перечень приведён в цели 3 раздела 5), — формируются программным кодом Приложения на Устройстве Пользователя, сохраняются в его браузере (IndexedDB, localStorage) и передаются по протоколу HTTPS на сервер Оператора в Российской Федерации, где хранятся в Учётной записи.</w:t>
      </w:r>
    </w:p>
    <w:p>
      <w:r>
        <w:t xml:space="preserve">6.2. </w:t>
      </w:r>
      <w:r>
        <w:t xml:space="preserve">Цель обработки Учебных данных на сервере — общий прогресс на Устройствах, привязанных к Учётной записи: изменения, сделанные на одном Устройстве, становятся доступны на другом. Персональный план, повторение и статистика рассчитываются Приложением на Устройстве. Оператор не использует Учебные данные для рекламы, не передаёт их третьим лицам (кроме хостинг-провайдера, раздел 7) и не объединяет их с данными из других источников; доступ к ним Оператор получает только в объёме, необходимом для работы Сервиса, обеспечения его безопасности и рассмотрения обращений Пользователя.</w:t>
      </w:r>
    </w:p>
    <w:p>
      <w:r>
        <w:t xml:space="preserve">6.3. </w:t>
      </w:r>
      <w:r>
        <w:t xml:space="preserve">Учебные данные хранятся на сервере в течение Срока доступа и 3 (трёх) лет после его окончания; если в этот период доступ продлён, Пользователь продолжает занятия с сохранённым прогрессом. По истечении этого срока Учебные данные уничтожаются в порядке раздела 12.</w:t>
      </w:r>
    </w:p>
    <w:p>
      <w:r>
        <w:t xml:space="preserve">6.4. </w:t>
      </w:r>
      <w:r>
        <w:t xml:space="preserve">Пользователь управляет Учебными данными. Сброс прогресса в Приложении удаляет с сервера и со всех привязанных Устройств результаты занятий: ответы на задания и самооценку, состояние тем, сведения о занятиях, пробные варианты и карточки повторения, а также рассчитанные показатели обучения и параметры подбора плана; анкета, заметки, расписание недели, настройки и сведения о работе с теорией и подсказками при этом сохраняются. Заметки и события расписания Пользователь удаляет в Приложении сам. Удаление данных Сайта в настройках браузера удаляет только копию на этом Устройстве. Экспортировать и импортировать Учебные данные можно средствами Приложения. Чтобы удалить все Учебные данные, в том числе анкету, Пользователь или его Законный представитель направляет требование об удалении Учётной записи в Службу поддержки с Почты ученика (пункт 11.3) либо в порядке раздела 11. В этом случае в сроки, указанные в разделе 12, удаляются Учётная запись (в том числе Почта ученика), Учебные данные, сведения об Устройствах и Коды входа, а доступ по Учётной записи и оплаченный Срок доступа прекращаются. Если оплаченный Срок доступа ещё не истёк, Оператор до удаления сообщает об этом Пользователю и (или) плательщику; возврат денежных средств производится только по отдельному заявлению плательщика в порядке раздела 10 Оферты. По иным основаниям (раздел 4) продолжают храниться: служебная запись об Учётной записи без адреса электронной почты (номер, даты, отметка об удалении; Тариф в ней не хранится) и Записи об акцепте — 3 года после окончания Срока доступа; сведения о платежах, возвратах и чеках — 5 лет, а адреса электронной почты, IP-адрес и user-agent в них — в срок, указанный для цели 6; записи журнала событий — в срок, указанный для цели 5. По истечении этих сроков такие данные уничтожаются.</w:t>
      </w:r>
    </w:p>
    <w:p>
      <w:r>
        <w:t xml:space="preserve">6.5. </w:t>
      </w:r>
      <w:r>
        <w:t xml:space="preserve">Резервную копию Оператор получает только в одном случае: если Пользователь по своей инициативе экспортирует её и направит в Службу поддержки. Такие данные обрабатываются на основании Согласия в цели 8 раздела 5 и удаляются в указанный там срок.</w:t>
      </w:r>
    </w:p>
    <w:p>
      <w:pPr>
        <w:pStyle w:val="Heading2"/>
      </w:pPr>
      <w:r>
        <w:t xml:space="preserve">7. Порядок и условия обработки</w:t>
      </w:r>
    </w:p>
    <w:p>
      <w:r>
        <w:t xml:space="preserve">7.1. </w:t>
      </w:r>
      <w:r>
        <w:t xml:space="preserve">Оператор осуществляет с персональными данными следующие действия: сбор, запись, систематизацию, накопление, хранение, уточнение (обновление, изменение), извлечение, использование, передачу (предоставление, доступ) в случаях, указанных в пункте 7.4, блокирование, удаление, уничтожение.</w:t>
      </w:r>
    </w:p>
    <w:p>
      <w:r>
        <w:t xml:space="preserve">7.2. </w:t>
      </w:r>
      <w:r>
        <w:t xml:space="preserve">Обработка осуществляется с использованием средств автоматизации, с передачей данных по сети «Интернет» по защищённому протоколу HTTPS. Неавтоматизированная обработка осуществляется только при работе с письменными обращениями.</w:t>
      </w:r>
    </w:p>
    <w:p>
      <w:r>
        <w:t xml:space="preserve">7.3. </w:t>
      </w:r>
      <w:r>
        <w:t xml:space="preserve">Запись, систематизация, накопление, хранение, уточнение и извлечение персональных данных граждан Российской Федерации осуществляются с использованием баз данных, находящихся на территории Российской Федерации (часть 5 статьи 18 Закона № 152-ФЗ). Серверы Сервиса, на которых хранятся в том числе Учётные записи и Учебные данные, и резервные копии размещаются у хостинг-провайдера, указанного в разделе 16, в Российской Федерации. Трансграничная передача персональных данных Оператором не осуществляется.</w:t>
      </w:r>
    </w:p>
    <w:p>
      <w:r>
        <w:t xml:space="preserve">7.4. </w:t>
      </w:r>
      <w:r>
        <w:t xml:space="preserve">Оператор не распространяет персональные данные и не раскрывает их третьим лицам, кроме следующих случаев:</w:t>
      </w:r>
    </w:p>
    <w:p>
      <w:pPr>
        <w:tabs>
          <w:tab w:val="left" w:pos="454"/>
        </w:tabs>
        <w:spacing w:after="0"/>
        <w:ind w:left="454" w:hanging="454"/>
        <w:jc w:val="both"/>
      </w:pPr>
      <w:r>
        <w:t xml:space="preserve">—</w:t>
      </w:r>
      <w:r>
        <w:tab/>
      </w:r>
      <w:r>
        <w:rPr>
          <w:b/>
          <w:bCs/>
        </w:rPr>
        <w:t xml:space="preserve">Платёжный сервис ЮKassa (НКО «ЮМани» (ООО), лицензия Банка России № 3510-К).</w:t>
      </w:r>
      <w:r>
        <w:t xml:space="preserve"> Данные банковской карты и иные платёжные реквизиты Пользователь вводит на платёжной странице ЮKassa; их обрабатывает НКО «ЮМани» (ООО) как самостоятельный оператор в соответствии со своими документами, размещёнными на сайте https://yookassa.ru/; полный номер карты и CVC Оператору не передаются. Для проведения платежа и возврата Оператор передаёт ЮKassa сумму, описание платежа и номер заказа, а если это требуется для формирования чека, — Почту для чека; ЮKassa обрабатывает эти данные на основании договора с Оператором. От ЮKassa Оператор получает идентификатор, сумму, дату, время и статус платежа;</w:t>
      </w:r>
    </w:p>
    <w:p>
      <w:pPr>
        <w:tabs>
          <w:tab w:val="left" w:pos="454"/>
        </w:tabs>
        <w:spacing w:after="0"/>
        <w:ind w:left="454" w:hanging="454"/>
        <w:jc w:val="both"/>
      </w:pPr>
      <w:r>
        <w:t xml:space="preserve">—</w:t>
      </w:r>
      <w:r>
        <w:tab/>
      </w:r>
      <w:r>
        <w:t xml:space="preserve">хостинг-провайдеру, указанному в разделе 16, — в объёме, необходимом для хранения данных. Поручение обработки даётся только по договору, содержащему требования части 3 статьи 6 Закона № 152-ФЗ, включая обязанность соблюдать конфиденциальность и принимать меры защиты;</w:t>
      </w:r>
    </w:p>
    <w:p>
      <w:pPr>
        <w:tabs>
          <w:tab w:val="left" w:pos="454"/>
        </w:tabs>
        <w:spacing w:after="0"/>
        <w:ind w:left="454" w:hanging="454"/>
        <w:jc w:val="both"/>
      </w:pPr>
      <w:r>
        <w:t xml:space="preserve">—</w:t>
      </w:r>
      <w:r>
        <w:tab/>
      </w:r>
      <w:r>
        <w:rPr>
          <w:b/>
          <w:bCs/>
        </w:rPr>
        <w:t xml:space="preserve">Почтовый сервис Почта Mail (правообладатель — ООО «ВК», ОГРН 1027739850962, Россия).</w:t>
      </w:r>
      <w:r>
        <w:t xml:space="preserve"> Через этот сервис Оператор направляет письма (Коды входа, письма об открытии и окончании доступа, чеки) и ведёт переписку по электронной почте. Сервис получает адрес получателя и текст письма в объёме, необходимом для доставки, и обрабатывает их в соответствии со своими документами, размещёнными на сайте https://help.mail.ru/;</w:t>
      </w:r>
    </w:p>
    <w:p>
      <w:pPr>
        <w:tabs>
          <w:tab w:val="left" w:pos="454"/>
        </w:tabs>
        <w:spacing w:after="0"/>
        <w:ind w:left="454" w:hanging="454"/>
        <w:jc w:val="both"/>
      </w:pPr>
      <w:r>
        <w:t xml:space="preserve">—</w:t>
      </w:r>
      <w:r>
        <w:tab/>
      </w:r>
      <w:r>
        <w:t xml:space="preserve">органам государственной власти и иным лицам — в случаях и порядке, предусмотренных федеральным законом.</w:t>
      </w:r>
    </w:p>
    <w:p>
      <w:r>
        <w:t xml:space="preserve">7.5. </w:t>
      </w:r>
      <w:r>
        <w:t xml:space="preserve">Для связи со Службой поддержки Пользователь может по своему выбору использовать мессенджер Telegram (@cbaombp). Сведения, которые Пользователь сам сообщает в Telegram, обрабатываются мессенджером как самостоятельным оператором по его правилам; Оператор использует полученные в переписке сведения только для ответа на обращение.</w:t>
      </w:r>
    </w:p>
    <w:p>
      <w:r>
        <w:t xml:space="preserve">7.6. </w:t>
      </w:r>
      <w:r>
        <w:t xml:space="preserve">Автоматическая проверка Кода входа, Срока доступа и количества привязанных Устройств является техническим условием предоставления доступа по Оферте. Оператор не принимает решений, порождающих юридические последствия для субъекта, исключительно на основании автоматизированной обработки его персональных данных (статья 16 Закона № 152-ФЗ): по обращению Пользователя Оператор рассматривает ситуацию лично.</w:t>
      </w:r>
    </w:p>
    <w:p>
      <w:r>
        <w:t xml:space="preserve">7.7. </w:t>
      </w:r>
      <w:r>
        <w:t xml:space="preserve">Сведения о возрасте Пользователя Оператор не собирает. Подтверждение совершеннолетия или согласия Законного представителя фиксируется только как факт проставления отметки в Записи об акцепте.</w:t>
      </w:r>
    </w:p>
    <w:p>
      <w:pPr>
        <w:pStyle w:val="Heading2"/>
      </w:pPr>
      <w:r>
        <w:t xml:space="preserve">8. Cookies и локальное хранилище</w:t>
      </w:r>
    </w:p>
    <w:p>
      <w:r>
        <w:t xml:space="preserve">8.1. </w:t>
      </w:r>
      <w:r>
        <w:t xml:space="preserve">Сайт и Приложение используют только собственные (first-party) технические механизмы хранения:</w:t>
      </w:r>
    </w:p>
    <w:tbl>
      <w:tblPr>
        <w:tblStyle w:val="TableGrid"/>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00" w:type="dxa"/>
          <w:bottom w:w="40" w:type="dxa"/>
          <w:right w:w="100" w:type="dxa"/>
        </w:tblCellMar>
      </w:tblPr>
      <w:tblGrid>
        <w:gridCol w:w="1967"/>
        <w:gridCol w:w="2119"/>
        <w:gridCol w:w="1972"/>
        <w:gridCol w:w="1513"/>
        <w:gridCol w:w="1784"/>
      </w:tblGrid>
      <w:tr>
        <w:trPr>
          <w:cantSplit/>
          <w:tblHeader/>
        </w:trPr>
        <w:tc>
          <w:tcPr>
            <w:tcW w:w="1967" w:type="dxa"/>
            <w:shd w:val="clear" w:color="auto" w:fill="D9D9D9"/>
          </w:tcPr>
          <w:p>
            <w:pPr>
              <w:spacing w:after="40" w:line="240" w:lineRule="auto"/>
              <w:jc w:val="left"/>
              <w:rPr>
                <w:sz w:val="20"/>
                <w:szCs w:val="20"/>
              </w:rPr>
            </w:pPr>
            <w:r>
              <w:rPr>
                <w:b/>
                <w:bCs/>
                <w:sz w:val="20"/>
                <w:szCs w:val="20"/>
              </w:rPr>
              <w:t xml:space="preserve">Что хранится</w:t>
            </w:r>
          </w:p>
        </w:tc>
        <w:tc>
          <w:tcPr>
            <w:tcW w:w="2119" w:type="dxa"/>
            <w:shd w:val="clear" w:color="auto" w:fill="D9D9D9"/>
          </w:tcPr>
          <w:p>
            <w:pPr>
              <w:spacing w:after="40" w:line="240" w:lineRule="auto"/>
              <w:jc w:val="left"/>
              <w:rPr>
                <w:sz w:val="20"/>
                <w:szCs w:val="20"/>
              </w:rPr>
            </w:pPr>
            <w:r>
              <w:rPr>
                <w:b/>
                <w:bCs/>
                <w:sz w:val="20"/>
                <w:szCs w:val="20"/>
              </w:rPr>
              <w:t xml:space="preserve">Механизм</w:t>
            </w:r>
          </w:p>
        </w:tc>
        <w:tc>
          <w:tcPr>
            <w:tcW w:w="1972" w:type="dxa"/>
            <w:shd w:val="clear" w:color="auto" w:fill="D9D9D9"/>
          </w:tcPr>
          <w:p>
            <w:pPr>
              <w:spacing w:after="40" w:line="240" w:lineRule="auto"/>
              <w:jc w:val="left"/>
              <w:rPr>
                <w:sz w:val="20"/>
                <w:szCs w:val="20"/>
              </w:rPr>
            </w:pPr>
            <w:r>
              <w:rPr>
                <w:b/>
                <w:bCs/>
                <w:sz w:val="20"/>
                <w:szCs w:val="20"/>
              </w:rPr>
              <w:t xml:space="preserve">Назначение</w:t>
            </w:r>
          </w:p>
        </w:tc>
        <w:tc>
          <w:tcPr>
            <w:tcW w:w="1513" w:type="dxa"/>
            <w:shd w:val="clear" w:color="auto" w:fill="D9D9D9"/>
          </w:tcPr>
          <w:p>
            <w:pPr>
              <w:spacing w:after="40" w:line="240" w:lineRule="auto"/>
              <w:jc w:val="left"/>
              <w:rPr>
                <w:sz w:val="20"/>
                <w:szCs w:val="20"/>
              </w:rPr>
            </w:pPr>
            <w:r>
              <w:rPr>
                <w:b/>
                <w:bCs/>
                <w:sz w:val="20"/>
                <w:szCs w:val="20"/>
              </w:rPr>
              <w:t xml:space="preserve">Передаётся Оператору</w:t>
            </w:r>
          </w:p>
        </w:tc>
        <w:tc>
          <w:tcPr>
            <w:tcW w:w="1784" w:type="dxa"/>
            <w:shd w:val="clear" w:color="auto" w:fill="D9D9D9"/>
          </w:tcPr>
          <w:p>
            <w:pPr>
              <w:spacing w:after="40" w:line="240" w:lineRule="auto"/>
              <w:jc w:val="left"/>
              <w:rPr>
                <w:sz w:val="20"/>
                <w:szCs w:val="20"/>
              </w:rPr>
            </w:pPr>
            <w:r>
              <w:rPr>
                <w:b/>
                <w:bCs/>
                <w:sz w:val="20"/>
                <w:szCs w:val="20"/>
              </w:rPr>
              <w:t xml:space="preserve">Срок</w:t>
            </w:r>
          </w:p>
        </w:tc>
      </w:tr>
      <w:tr>
        <w:tc>
          <w:tcPr>
            <w:tcW w:w="1967" w:type="dxa"/>
          </w:tcPr>
          <w:p>
            <w:pPr>
              <w:spacing w:after="40" w:line="240" w:lineRule="auto"/>
              <w:jc w:val="left"/>
              <w:rPr>
                <w:sz w:val="20"/>
                <w:szCs w:val="20"/>
              </w:rPr>
            </w:pPr>
            <w:r>
              <w:rPr>
                <w:sz w:val="20"/>
                <w:szCs w:val="20"/>
              </w:rPr>
              <w:t xml:space="preserve">Идентификатор сессии</w:t>
            </w:r>
          </w:p>
        </w:tc>
        <w:tc>
          <w:tcPr>
            <w:tcW w:w="2119" w:type="dxa"/>
          </w:tcPr>
          <w:p>
            <w:pPr>
              <w:spacing w:after="40" w:line="240" w:lineRule="auto"/>
              <w:jc w:val="left"/>
              <w:rPr>
                <w:sz w:val="20"/>
                <w:szCs w:val="20"/>
              </w:rPr>
            </w:pPr>
            <w:r>
              <w:rPr>
                <w:sz w:val="20"/>
                <w:szCs w:val="20"/>
              </w:rPr>
              <w:t xml:space="preserve">Техническая cookie с атрибутом HttpOnly</w:t>
            </w:r>
          </w:p>
        </w:tc>
        <w:tc>
          <w:tcPr>
            <w:tcW w:w="1972" w:type="dxa"/>
          </w:tcPr>
          <w:p>
            <w:pPr>
              <w:spacing w:after="40" w:line="240" w:lineRule="auto"/>
              <w:jc w:val="left"/>
              <w:rPr>
                <w:sz w:val="20"/>
                <w:szCs w:val="20"/>
              </w:rPr>
            </w:pPr>
            <w:r>
              <w:rPr>
                <w:sz w:val="20"/>
                <w:szCs w:val="20"/>
              </w:rPr>
              <w:t xml:space="preserve">Сохранение входа в Учётную запись на Устройстве</w:t>
            </w:r>
          </w:p>
        </w:tc>
        <w:tc>
          <w:tcPr>
            <w:tcW w:w="1513" w:type="dxa"/>
          </w:tcPr>
          <w:p>
            <w:pPr>
              <w:spacing w:after="40" w:line="240" w:lineRule="auto"/>
              <w:jc w:val="left"/>
              <w:rPr>
                <w:sz w:val="20"/>
                <w:szCs w:val="20"/>
              </w:rPr>
            </w:pPr>
            <w:r>
              <w:rPr>
                <w:sz w:val="20"/>
                <w:szCs w:val="20"/>
              </w:rPr>
              <w:t xml:space="preserve">Да, при каждом запросе к серверу</w:t>
            </w:r>
          </w:p>
        </w:tc>
        <w:tc>
          <w:tcPr>
            <w:tcW w:w="1784" w:type="dxa"/>
          </w:tcPr>
          <w:p>
            <w:pPr>
              <w:spacing w:after="40" w:line="240" w:lineRule="auto"/>
              <w:jc w:val="left"/>
              <w:rPr>
                <w:sz w:val="20"/>
                <w:szCs w:val="20"/>
              </w:rPr>
            </w:pPr>
            <w:r>
              <w:rPr>
                <w:sz w:val="20"/>
                <w:szCs w:val="20"/>
              </w:rPr>
              <w:t xml:space="preserve">До 400 дней с входа на Устройстве; удаляется при выходе из Учётной записи</w:t>
            </w:r>
          </w:p>
        </w:tc>
      </w:tr>
      <w:tr>
        <w:tc>
          <w:tcPr>
            <w:tcW w:w="1967" w:type="dxa"/>
          </w:tcPr>
          <w:p>
            <w:pPr>
              <w:spacing w:after="40" w:line="240" w:lineRule="auto"/>
              <w:jc w:val="left"/>
              <w:rPr>
                <w:sz w:val="20"/>
                <w:szCs w:val="20"/>
              </w:rPr>
            </w:pPr>
            <w:r>
              <w:rPr>
                <w:sz w:val="20"/>
                <w:szCs w:val="20"/>
              </w:rPr>
              <w:t xml:space="preserve">Идентификатор устройства</w:t>
            </w:r>
          </w:p>
        </w:tc>
        <w:tc>
          <w:tcPr>
            <w:tcW w:w="2119" w:type="dxa"/>
          </w:tcPr>
          <w:p>
            <w:pPr>
              <w:spacing w:after="40" w:line="240" w:lineRule="auto"/>
              <w:jc w:val="left"/>
              <w:rPr>
                <w:sz w:val="20"/>
                <w:szCs w:val="20"/>
              </w:rPr>
            </w:pPr>
            <w:r>
              <w:rPr>
                <w:sz w:val="20"/>
                <w:szCs w:val="20"/>
              </w:rPr>
              <w:t xml:space="preserve">localStorage</w:t>
            </w:r>
          </w:p>
        </w:tc>
        <w:tc>
          <w:tcPr>
            <w:tcW w:w="1972" w:type="dxa"/>
          </w:tcPr>
          <w:p>
            <w:pPr>
              <w:spacing w:after="40" w:line="240" w:lineRule="auto"/>
              <w:jc w:val="left"/>
              <w:rPr>
                <w:sz w:val="20"/>
                <w:szCs w:val="20"/>
              </w:rPr>
            </w:pPr>
            <w:r>
              <w:rPr>
                <w:sz w:val="20"/>
                <w:szCs w:val="20"/>
              </w:rPr>
              <w:t xml:space="preserve">Учёт Устройств, привязанных к Учётной записи (не более двух разного типа), и того, на каком из них идёт занятие</w:t>
            </w:r>
          </w:p>
        </w:tc>
        <w:tc>
          <w:tcPr>
            <w:tcW w:w="1513" w:type="dxa"/>
          </w:tcPr>
          <w:p>
            <w:pPr>
              <w:spacing w:after="40" w:line="240" w:lineRule="auto"/>
              <w:jc w:val="left"/>
              <w:rPr>
                <w:sz w:val="20"/>
                <w:szCs w:val="20"/>
              </w:rPr>
            </w:pPr>
            <w:r>
              <w:rPr>
                <w:sz w:val="20"/>
                <w:szCs w:val="20"/>
              </w:rPr>
              <w:t xml:space="preserve">Да, при входе и во время занятий</w:t>
            </w:r>
          </w:p>
        </w:tc>
        <w:tc>
          <w:tcPr>
            <w:tcW w:w="1784" w:type="dxa"/>
          </w:tcPr>
          <w:p>
            <w:pPr>
              <w:spacing w:after="40" w:line="240" w:lineRule="auto"/>
              <w:jc w:val="left"/>
              <w:rPr>
                <w:sz w:val="20"/>
                <w:szCs w:val="20"/>
              </w:rPr>
            </w:pPr>
            <w:r>
              <w:rPr>
                <w:sz w:val="20"/>
                <w:szCs w:val="20"/>
              </w:rPr>
              <w:t xml:space="preserve">До удаления данных Сайта в браузере</w:t>
            </w:r>
          </w:p>
        </w:tc>
      </w:tr>
      <w:tr>
        <w:tc>
          <w:tcPr>
            <w:tcW w:w="1967" w:type="dxa"/>
          </w:tcPr>
          <w:p>
            <w:pPr>
              <w:spacing w:after="40" w:line="240" w:lineRule="auto"/>
              <w:jc w:val="left"/>
              <w:rPr>
                <w:sz w:val="20"/>
                <w:szCs w:val="20"/>
              </w:rPr>
            </w:pPr>
            <w:r>
              <w:rPr>
                <w:sz w:val="20"/>
                <w:szCs w:val="20"/>
              </w:rPr>
              <w:t xml:space="preserve">Учебные данные и очередь изменений, ещё не переданных на сервер</w:t>
            </w:r>
          </w:p>
        </w:tc>
        <w:tc>
          <w:tcPr>
            <w:tcW w:w="2119" w:type="dxa"/>
          </w:tcPr>
          <w:p>
            <w:pPr>
              <w:spacing w:after="40" w:line="240" w:lineRule="auto"/>
              <w:jc w:val="left"/>
              <w:rPr>
                <w:sz w:val="20"/>
                <w:szCs w:val="20"/>
              </w:rPr>
            </w:pPr>
            <w:r>
              <w:rPr>
                <w:sz w:val="20"/>
                <w:szCs w:val="20"/>
              </w:rPr>
              <w:t xml:space="preserve">IndexedDB, localStorage</w:t>
            </w:r>
          </w:p>
        </w:tc>
        <w:tc>
          <w:tcPr>
            <w:tcW w:w="1972" w:type="dxa"/>
          </w:tcPr>
          <w:p>
            <w:pPr>
              <w:spacing w:after="40" w:line="240" w:lineRule="auto"/>
              <w:jc w:val="left"/>
              <w:rPr>
                <w:sz w:val="20"/>
                <w:szCs w:val="20"/>
              </w:rPr>
            </w:pPr>
            <w:r>
              <w:rPr>
                <w:sz w:val="20"/>
                <w:szCs w:val="20"/>
              </w:rPr>
              <w:t xml:space="preserve">Работа функций Приложения и общий прогресс на Устройствах (раздел 6)</w:t>
            </w:r>
          </w:p>
        </w:tc>
        <w:tc>
          <w:tcPr>
            <w:tcW w:w="1513" w:type="dxa"/>
          </w:tcPr>
          <w:p>
            <w:pPr>
              <w:spacing w:after="40" w:line="240" w:lineRule="auto"/>
              <w:jc w:val="left"/>
              <w:rPr>
                <w:sz w:val="20"/>
                <w:szCs w:val="20"/>
              </w:rPr>
            </w:pPr>
            <w:r>
              <w:rPr>
                <w:sz w:val="20"/>
                <w:szCs w:val="20"/>
              </w:rPr>
              <w:t xml:space="preserve">Да: Учебные данные передаются на сервер и хранятся в Учётной записи</w:t>
            </w:r>
          </w:p>
        </w:tc>
        <w:tc>
          <w:tcPr>
            <w:tcW w:w="1784" w:type="dxa"/>
          </w:tcPr>
          <w:p>
            <w:pPr>
              <w:spacing w:after="40" w:line="240" w:lineRule="auto"/>
              <w:jc w:val="left"/>
              <w:rPr>
                <w:sz w:val="20"/>
                <w:szCs w:val="20"/>
              </w:rPr>
            </w:pPr>
            <w:r>
              <w:rPr>
                <w:sz w:val="20"/>
                <w:szCs w:val="20"/>
              </w:rPr>
              <w:t xml:space="preserve">В браузере — до удаления данных Сайта; на сервере — в сроки, указанные в разделе 5</w:t>
            </w:r>
          </w:p>
        </w:tc>
      </w:tr>
      <w:tr>
        <w:tc>
          <w:tcPr>
            <w:tcW w:w="1967" w:type="dxa"/>
          </w:tcPr>
          <w:p>
            <w:pPr>
              <w:spacing w:after="40" w:line="240" w:lineRule="auto"/>
              <w:jc w:val="left"/>
              <w:rPr>
                <w:sz w:val="20"/>
                <w:szCs w:val="20"/>
              </w:rPr>
            </w:pPr>
            <w:r>
              <w:rPr>
                <w:sz w:val="20"/>
                <w:szCs w:val="20"/>
              </w:rPr>
              <w:t xml:space="preserve">Номер заказа, адреса электронной почты и Тариф, указанные при оформлении оплаты</w:t>
            </w:r>
          </w:p>
        </w:tc>
        <w:tc>
          <w:tcPr>
            <w:tcW w:w="2119" w:type="dxa"/>
          </w:tcPr>
          <w:p>
            <w:pPr>
              <w:spacing w:after="40" w:line="240" w:lineRule="auto"/>
              <w:jc w:val="left"/>
              <w:rPr>
                <w:sz w:val="20"/>
                <w:szCs w:val="20"/>
              </w:rPr>
            </w:pPr>
            <w:r>
              <w:rPr>
                <w:sz w:val="20"/>
                <w:szCs w:val="20"/>
              </w:rPr>
              <w:t xml:space="preserve">sessionStorage</w:t>
            </w:r>
          </w:p>
        </w:tc>
        <w:tc>
          <w:tcPr>
            <w:tcW w:w="1972" w:type="dxa"/>
          </w:tcPr>
          <w:p>
            <w:pPr>
              <w:spacing w:after="40" w:line="240" w:lineRule="auto"/>
              <w:jc w:val="left"/>
              <w:rPr>
                <w:sz w:val="20"/>
                <w:szCs w:val="20"/>
              </w:rPr>
            </w:pPr>
            <w:r>
              <w:rPr>
                <w:sz w:val="20"/>
                <w:szCs w:val="20"/>
              </w:rPr>
              <w:t xml:space="preserve">Показ результата оплаты после возврата со страницы Платёжного сервиса</w:t>
            </w:r>
          </w:p>
        </w:tc>
        <w:tc>
          <w:tcPr>
            <w:tcW w:w="1513" w:type="dxa"/>
          </w:tcPr>
          <w:p>
            <w:pPr>
              <w:spacing w:after="40" w:line="240" w:lineRule="auto"/>
              <w:jc w:val="left"/>
              <w:rPr>
                <w:sz w:val="20"/>
                <w:szCs w:val="20"/>
              </w:rPr>
            </w:pPr>
            <w:r>
              <w:rPr>
                <w:sz w:val="20"/>
                <w:szCs w:val="20"/>
              </w:rPr>
              <w:t xml:space="preserve">Номер заказа — да, при проверке статуса оплаты</w:t>
            </w:r>
          </w:p>
        </w:tc>
        <w:tc>
          <w:tcPr>
            <w:tcW w:w="1784" w:type="dxa"/>
          </w:tcPr>
          <w:p>
            <w:pPr>
              <w:spacing w:after="40" w:line="240" w:lineRule="auto"/>
              <w:jc w:val="left"/>
              <w:rPr>
                <w:sz w:val="20"/>
                <w:szCs w:val="20"/>
              </w:rPr>
            </w:pPr>
            <w:r>
              <w:rPr>
                <w:sz w:val="20"/>
                <w:szCs w:val="20"/>
              </w:rPr>
              <w:t xml:space="preserve">До закрытия вкладки или до выяснения статуса оплаты</w:t>
            </w:r>
          </w:p>
        </w:tc>
      </w:tr>
      <w:tr>
        <w:tc>
          <w:tcPr>
            <w:tcW w:w="1967" w:type="dxa"/>
          </w:tcPr>
          <w:p>
            <w:pPr>
              <w:spacing w:after="40" w:line="240" w:lineRule="auto"/>
              <w:jc w:val="left"/>
              <w:rPr>
                <w:sz w:val="20"/>
                <w:szCs w:val="20"/>
              </w:rPr>
            </w:pPr>
            <w:r>
              <w:rPr>
                <w:sz w:val="20"/>
                <w:szCs w:val="20"/>
              </w:rPr>
              <w:t xml:space="preserve">Материалы, настройки внешнего вида и отдельные отметки интерфейса (например, «прочитано» в теории)</w:t>
            </w:r>
          </w:p>
        </w:tc>
        <w:tc>
          <w:tcPr>
            <w:tcW w:w="2119" w:type="dxa"/>
          </w:tcPr>
          <w:p>
            <w:pPr>
              <w:spacing w:after="40" w:line="240" w:lineRule="auto"/>
              <w:jc w:val="left"/>
              <w:rPr>
                <w:sz w:val="20"/>
                <w:szCs w:val="20"/>
              </w:rPr>
            </w:pPr>
            <w:r>
              <w:rPr>
                <w:sz w:val="20"/>
                <w:szCs w:val="20"/>
              </w:rPr>
              <w:t xml:space="preserve">IndexedDB, localStorage</w:t>
            </w:r>
          </w:p>
        </w:tc>
        <w:tc>
          <w:tcPr>
            <w:tcW w:w="1972" w:type="dxa"/>
          </w:tcPr>
          <w:p>
            <w:pPr>
              <w:spacing w:after="40" w:line="240" w:lineRule="auto"/>
              <w:jc w:val="left"/>
              <w:rPr>
                <w:sz w:val="20"/>
                <w:szCs w:val="20"/>
              </w:rPr>
            </w:pPr>
            <w:r>
              <w:rPr>
                <w:sz w:val="20"/>
                <w:szCs w:val="20"/>
              </w:rPr>
              <w:t xml:space="preserve">Работа Приложения</w:t>
            </w:r>
          </w:p>
        </w:tc>
        <w:tc>
          <w:tcPr>
            <w:tcW w:w="1513" w:type="dxa"/>
          </w:tcPr>
          <w:p>
            <w:pPr>
              <w:spacing w:after="40" w:line="240" w:lineRule="auto"/>
              <w:jc w:val="left"/>
              <w:rPr>
                <w:sz w:val="20"/>
                <w:szCs w:val="20"/>
              </w:rPr>
            </w:pPr>
            <w:r>
              <w:rPr>
                <w:sz w:val="20"/>
                <w:szCs w:val="20"/>
              </w:rPr>
              <w:t xml:space="preserve">Нет</w:t>
            </w:r>
          </w:p>
        </w:tc>
        <w:tc>
          <w:tcPr>
            <w:tcW w:w="1784" w:type="dxa"/>
          </w:tcPr>
          <w:p>
            <w:pPr>
              <w:spacing w:after="40" w:line="240" w:lineRule="auto"/>
              <w:jc w:val="left"/>
              <w:rPr>
                <w:sz w:val="20"/>
                <w:szCs w:val="20"/>
              </w:rPr>
            </w:pPr>
            <w:r>
              <w:rPr>
                <w:sz w:val="20"/>
                <w:szCs w:val="20"/>
              </w:rPr>
              <w:t xml:space="preserve">До удаления данных Сайта в браузере</w:t>
            </w:r>
          </w:p>
        </w:tc>
      </w:tr>
    </w:tbl>
    <w:p>
      <w:pPr>
        <w:spacing w:before="160"/>
      </w:pPr>
      <w:r>
        <w:t xml:space="preserve">8.2. </w:t>
      </w:r>
      <w:r>
        <w:t xml:space="preserve">Рекламные, аналитические и иные сторонние cookies и счётчики не используются. Техническая cookie необходима для работы Приложения: если запретить cookies или локальное хранилище в настройках браузера, вход в Учётную запись и работа Приложения будут невозможны. Платёжная страница ЮKassa может использовать собственные cookies по правилам НКО «ЮМани» (ООО).</w:t>
      </w:r>
    </w:p>
    <w:p>
      <w:r>
        <w:t xml:space="preserve">8.3. </w:t>
      </w:r>
      <w:r>
        <w:t xml:space="preserve">Пользователь может в любой момент просмотреть и удалить cookies и данные Сайта средствами браузера. Удаление приводит к выходу из Учётной записи на этом Устройстве, созданию нового Идентификатора устройства при следующем входе и утрате изменений Учебных данных, ещё не переданных на сервер. Учебные данные, сохранённые в Учётной записи, при следующем входе загружаются снова.</w:t>
      </w:r>
    </w:p>
    <w:p>
      <w:pPr>
        <w:pStyle w:val="Heading2"/>
      </w:pPr>
      <w:r>
        <w:t xml:space="preserve">9. Права субъекта персональных данных</w:t>
      </w:r>
    </w:p>
    <w:p>
      <w:r>
        <w:t xml:space="preserve">9.1. </w:t>
      </w:r>
      <w:r>
        <w:t xml:space="preserve">Субъект персональных данных (а за несовершеннолетнего — также его Законный представитель) вправе получить информацию, касающуюся обработки его персональных данных (часть 7 статьи 14 Закона № 152-ФЗ), в том числе:</w:t>
      </w:r>
    </w:p>
    <w:p>
      <w:pPr>
        <w:tabs>
          <w:tab w:val="left" w:pos="454"/>
        </w:tabs>
        <w:spacing w:after="0"/>
        <w:ind w:left="454" w:hanging="454"/>
        <w:jc w:val="both"/>
      </w:pPr>
      <w:r>
        <w:t xml:space="preserve">—</w:t>
      </w:r>
      <w:r>
        <w:tab/>
      </w:r>
      <w:r>
        <w:t xml:space="preserve">подтверждение факта обработки персональных данных Оператором;</w:t>
      </w:r>
    </w:p>
    <w:p>
      <w:pPr>
        <w:tabs>
          <w:tab w:val="left" w:pos="454"/>
        </w:tabs>
        <w:spacing w:after="0"/>
        <w:ind w:left="454" w:hanging="454"/>
        <w:jc w:val="both"/>
      </w:pPr>
      <w:r>
        <w:t xml:space="preserve">—</w:t>
      </w:r>
      <w:r>
        <w:tab/>
      </w:r>
      <w:r>
        <w:t xml:space="preserve">правовые основания, цели и применяемые способы обработки;</w:t>
      </w:r>
    </w:p>
    <w:p>
      <w:pPr>
        <w:tabs>
          <w:tab w:val="left" w:pos="454"/>
        </w:tabs>
        <w:spacing w:after="0"/>
        <w:ind w:left="454" w:hanging="454"/>
        <w:jc w:val="both"/>
      </w:pPr>
      <w:r>
        <w:t xml:space="preserve">—</w:t>
      </w:r>
      <w:r>
        <w:tab/>
      </w:r>
      <w:r>
        <w:t xml:space="preserve">наименование и место нахождения Оператора, сведения о лицах, которые имеют доступ к персональным данным или которым они могут быть раскрыты на основании договора или федерального закона;</w:t>
      </w:r>
    </w:p>
    <w:p>
      <w:pPr>
        <w:tabs>
          <w:tab w:val="left" w:pos="454"/>
        </w:tabs>
        <w:spacing w:after="0"/>
        <w:ind w:left="454" w:hanging="454"/>
        <w:jc w:val="both"/>
      </w:pPr>
      <w:r>
        <w:t xml:space="preserve">—</w:t>
      </w:r>
      <w:r>
        <w:tab/>
      </w:r>
      <w:r>
        <w:t xml:space="preserve">обрабатываемые персональные данные и источник их получения;</w:t>
      </w:r>
    </w:p>
    <w:p>
      <w:pPr>
        <w:tabs>
          <w:tab w:val="left" w:pos="454"/>
        </w:tabs>
        <w:spacing w:after="0"/>
        <w:ind w:left="454" w:hanging="454"/>
        <w:jc w:val="both"/>
      </w:pPr>
      <w:r>
        <w:t xml:space="preserve">—</w:t>
      </w:r>
      <w:r>
        <w:tab/>
      </w:r>
      <w:r>
        <w:t xml:space="preserve">сроки обработки, в том числе сроки хранения;</w:t>
      </w:r>
    </w:p>
    <w:p>
      <w:pPr>
        <w:tabs>
          <w:tab w:val="left" w:pos="454"/>
        </w:tabs>
        <w:spacing w:after="0"/>
        <w:ind w:left="454" w:hanging="454"/>
        <w:jc w:val="both"/>
      </w:pPr>
      <w:r>
        <w:t xml:space="preserve">—</w:t>
      </w:r>
      <w:r>
        <w:tab/>
      </w:r>
      <w:r>
        <w:t xml:space="preserve">порядок осуществления прав, предусмотренных Законом № 152-ФЗ;</w:t>
      </w:r>
    </w:p>
    <w:p>
      <w:pPr>
        <w:tabs>
          <w:tab w:val="left" w:pos="454"/>
        </w:tabs>
        <w:spacing w:after="0"/>
        <w:ind w:left="454" w:hanging="454"/>
        <w:jc w:val="both"/>
      </w:pPr>
      <w:r>
        <w:t xml:space="preserve">—</w:t>
      </w:r>
      <w:r>
        <w:tab/>
      </w:r>
      <w:r>
        <w:t xml:space="preserve">сведения об осуществлённой или предполагаемой трансграничной передаче;</w:t>
      </w:r>
    </w:p>
    <w:p>
      <w:pPr>
        <w:tabs>
          <w:tab w:val="left" w:pos="454"/>
        </w:tabs>
        <w:spacing w:after="0"/>
        <w:ind w:left="454" w:hanging="454"/>
        <w:jc w:val="both"/>
      </w:pPr>
      <w:r>
        <w:t xml:space="preserve">—</w:t>
      </w:r>
      <w:r>
        <w:tab/>
      </w:r>
      <w:r>
        <w:t xml:space="preserve">сведения о лице, осуществляющем обработку по поручению Оператора, если обработка поручена;</w:t>
      </w:r>
    </w:p>
    <w:p>
      <w:pPr>
        <w:tabs>
          <w:tab w:val="left" w:pos="454"/>
        </w:tabs>
        <w:spacing w:after="0"/>
        <w:ind w:left="454" w:hanging="454"/>
        <w:jc w:val="both"/>
      </w:pPr>
      <w:r>
        <w:t xml:space="preserve">—</w:t>
      </w:r>
      <w:r>
        <w:tab/>
      </w:r>
      <w:r>
        <w:t xml:space="preserve">информацию о способах исполнения Оператором обязанностей, установленных статьёй 18.1 Закона № 152-ФЗ;</w:t>
      </w:r>
    </w:p>
    <w:p>
      <w:pPr>
        <w:tabs>
          <w:tab w:val="left" w:pos="454"/>
        </w:tabs>
        <w:spacing w:after="0"/>
        <w:ind w:left="454" w:hanging="454"/>
        <w:jc w:val="both"/>
      </w:pPr>
      <w:r>
        <w:t xml:space="preserve">—</w:t>
      </w:r>
      <w:r>
        <w:tab/>
      </w:r>
      <w:r>
        <w:t xml:space="preserve">иные сведения, предусмотренные федеральными законами.</w:t>
      </w:r>
    </w:p>
    <w:p>
      <w:r>
        <w:t xml:space="preserve">9.2. </w:t>
      </w:r>
      <w:r>
        <w:t xml:space="preserve">Субъект вправе требовать уточнения, блокирования или уничтожения своих персональных данных, если они являются неполными, устаревшими, неточными, незаконно полученными или не являются необходимыми для заявленной цели обработки.</w:t>
      </w:r>
    </w:p>
    <w:p>
      <w:r>
        <w:t xml:space="preserve">9.3. </w:t>
      </w:r>
      <w:r>
        <w:t xml:space="preserve">Если обработка осуществляется на основании согласия, субъект вправе в любой момент отозвать его (часть 2 статьи 9 Закона № 152-ФЗ). Отзыв согласия не влияет на доступ к Приложению, который предоставляется на основании договора. Субъект вправе также потребовать прекращения обработки (часть 5.1 статьи 21 Закона № 152-ФЗ); требование исполняется с учётом иных оснований обработки, указанных в разделе 4.</w:t>
      </w:r>
    </w:p>
    <w:p>
      <w:r>
        <w:t xml:space="preserve">9.4. </w:t>
      </w:r>
      <w:r>
        <w:t xml:space="preserve">Субъект вправе обжаловать действия или бездействие Оператора в уполномоченный орган по защите прав субъектов персональных данных (Роскомнадзор) или в суд, а также требовать возмещения убытков и компенсации морального вреда в порядке, установленном законом (статья 17, часть 2 статьи 24 Закона № 152-ФЗ).</w:t>
      </w:r>
    </w:p>
    <w:p>
      <w:pPr>
        <w:pStyle w:val="Heading2"/>
      </w:pPr>
      <w:r>
        <w:t xml:space="preserve">10. Обязанности Оператора</w:t>
      </w:r>
    </w:p>
    <w:p>
      <w:r>
        <w:t xml:space="preserve">10.1. </w:t>
      </w:r>
      <w:r>
        <w:t xml:space="preserve">Оператор обязан:</w:t>
      </w:r>
    </w:p>
    <w:p>
      <w:pPr>
        <w:tabs>
          <w:tab w:val="left" w:pos="454"/>
        </w:tabs>
        <w:spacing w:after="0"/>
        <w:ind w:left="454" w:hanging="454"/>
        <w:jc w:val="both"/>
      </w:pPr>
      <w:r>
        <w:t xml:space="preserve">—</w:t>
      </w:r>
      <w:r>
        <w:tab/>
      </w:r>
      <w:r>
        <w:t xml:space="preserve">обрабатывать персональные данные только в целях и на основаниях, указанных в Политике;</w:t>
      </w:r>
    </w:p>
    <w:p>
      <w:pPr>
        <w:tabs>
          <w:tab w:val="left" w:pos="454"/>
        </w:tabs>
        <w:spacing w:after="0"/>
        <w:ind w:left="454" w:hanging="454"/>
        <w:jc w:val="both"/>
      </w:pPr>
      <w:r>
        <w:t xml:space="preserve">—</w:t>
      </w:r>
      <w:r>
        <w:tab/>
      </w:r>
      <w:r>
        <w:t xml:space="preserve">предоставлять субъекту информацию об обработке его персональных данных и рассматривать его запросы в сроки, указанные в разделе 11;</w:t>
      </w:r>
    </w:p>
    <w:p>
      <w:pPr>
        <w:tabs>
          <w:tab w:val="left" w:pos="454"/>
        </w:tabs>
        <w:spacing w:after="0"/>
        <w:ind w:left="454" w:hanging="454"/>
        <w:jc w:val="both"/>
      </w:pPr>
      <w:r>
        <w:t xml:space="preserve">—</w:t>
      </w:r>
      <w:r>
        <w:tab/>
      </w:r>
      <w:r>
        <w:t xml:space="preserve">разъяснять субъекту юридические последствия отказа предоставить персональные данные, если их предоставление необходимо для заключения или исполнения договора;</w:t>
      </w:r>
    </w:p>
    <w:p>
      <w:pPr>
        <w:tabs>
          <w:tab w:val="left" w:pos="454"/>
        </w:tabs>
        <w:spacing w:after="0"/>
        <w:ind w:left="454" w:hanging="454"/>
        <w:jc w:val="both"/>
      </w:pPr>
      <w:r>
        <w:t xml:space="preserve">—</w:t>
      </w:r>
      <w:r>
        <w:tab/>
      </w:r>
      <w:r>
        <w:t xml:space="preserve">принимать меры по защите персональных данных, указанные в разделе 13;</w:t>
      </w:r>
    </w:p>
    <w:p>
      <w:pPr>
        <w:tabs>
          <w:tab w:val="left" w:pos="454"/>
        </w:tabs>
        <w:spacing w:after="0"/>
        <w:ind w:left="454" w:hanging="454"/>
        <w:jc w:val="both"/>
      </w:pPr>
      <w:r>
        <w:t xml:space="preserve">—</w:t>
      </w:r>
      <w:r>
        <w:tab/>
      </w:r>
      <w:r>
        <w:t xml:space="preserve">уведомлять Роскомнадзор о намерении осуществлять обработку персональных данных и об изменении сведений в уведомлении (статья 22 Закона № 152-ФЗ);</w:t>
      </w:r>
    </w:p>
    <w:p>
      <w:pPr>
        <w:tabs>
          <w:tab w:val="left" w:pos="454"/>
        </w:tabs>
        <w:spacing w:after="0"/>
        <w:ind w:left="454" w:hanging="454"/>
        <w:jc w:val="both"/>
      </w:pPr>
      <w:r>
        <w:t xml:space="preserve">—</w:t>
      </w:r>
      <w:r>
        <w:tab/>
      </w:r>
      <w:r>
        <w:t xml:space="preserve">в случае неправомерной или случайной передачи (предоставления, распространения, доступа) персональных данных, повлёкшей нарушение прав субъектов, уведомить Роскомнадзор в течение 24 часов, а о результатах внутреннего расследования — в течение 72 часов (часть 3.1 статьи 21 Закона № 152-ФЗ);</w:t>
      </w:r>
    </w:p>
    <w:p>
      <w:pPr>
        <w:tabs>
          <w:tab w:val="left" w:pos="454"/>
        </w:tabs>
        <w:spacing w:after="0"/>
        <w:ind w:left="454" w:hanging="454"/>
        <w:jc w:val="both"/>
      </w:pPr>
      <w:r>
        <w:t xml:space="preserve">—</w:t>
      </w:r>
      <w:r>
        <w:tab/>
      </w:r>
      <w:r>
        <w:t xml:space="preserve">прекращать обработку и уничтожать персональные данные в случаях и сроки, указанные в разделе 12.</w:t>
      </w:r>
    </w:p>
    <w:p>
      <w:pPr>
        <w:pStyle w:val="Heading2"/>
      </w:pPr>
      <w:r>
        <w:t xml:space="preserve">11. Порядок рассмотрения запросов</w:t>
      </w:r>
    </w:p>
    <w:p>
      <w:r>
        <w:t xml:space="preserve">11.1. </w:t>
      </w:r>
      <w:r>
        <w:t xml:space="preserve">Запрос субъекта персональных данных или его представителя направляется на электронную почту kdmd100@mail.ru (в форме электронного документа, подписанного электронной подписью) либо в письменной форме почтовым отправлением по адресу, который сообщается по запросу на ту же электронную почту. Вопросы, не требующие оформления запроса, можно задать в Telegram @cbaombp. Требование об удалении Учётной записи можно также направить в Службу поддержки с Почты ученика: принадлежность данных в этом случае подтверждается адресом отправителя (пункты 6.4 и 11.3).</w:t>
      </w:r>
    </w:p>
    <w:p>
      <w:r>
        <w:t xml:space="preserve">11.2. </w:t>
      </w:r>
      <w:r>
        <w:t xml:space="preserve">Запрос должен содержать (часть 3 статьи 14 Закона № 152-ФЗ): номер основного документа, удостоверяющего личность субъекта или его представителя, сведения о дате выдачи документа и выдавшем его органе; сведения, подтверждающие участие субъекта в отношениях с Оператором либо иным образом подтверждающие факт обработки (например, Почта ученика, Служебный номер, Почта для чека, дата и сумма платежа); подпись субъекта или его представителя. Представитель прикладывает документ, подтверждающий полномочия (для родителя — свидетельство о рождении ребёнка).</w:t>
      </w:r>
    </w:p>
    <w:p>
      <w:r>
        <w:t xml:space="preserve">11.3. </w:t>
      </w:r>
      <w:r>
        <w:t xml:space="preserve">Поскольку Оператор не запрашивает имён Пользователей для доступа и не может сопоставить их с паспортными данными, принадлежность данных проверяется по Почте ученика (в том числе по тому, что запрос направлен с этого адреса), Почте для чека или сведениям о платеже. Оператор вправе отказать в предоставлении сведений лицу, не подтвердившему связь с соответствующими данными, чтобы не раскрыть данные другого лица.</w:t>
      </w:r>
    </w:p>
    <w:p>
      <w:r>
        <w:t xml:space="preserve">11.4. </w:t>
      </w:r>
      <w:r>
        <w:t xml:space="preserve">Оператор предоставляет ответ в течение 10 (десяти) рабочих дней с даты получения запроса. Срок может быть продлён не более чем на 5 (пять) рабочих дней при направлении субъекту мотивированного уведомления о причинах продления (часть 3 статьи 14, часть 1 статьи 20 Закона № 152-ФЗ). Сведения предоставляются в доступной форме и не содержат персональных данных других субъектов.</w:t>
      </w:r>
    </w:p>
    <w:p>
      <w:r>
        <w:t xml:space="preserve">11.5. </w:t>
      </w:r>
      <w:r>
        <w:t xml:space="preserve">Если запрос не соответствует требованиям закона, Оператор направляет мотивированный отказ в те же сроки. Повторный запрос допускается в сроки и при условиях, предусмотренных частями 4 и 5 статьи 14 Закона № 152-ФЗ.</w:t>
      </w:r>
    </w:p>
    <w:p>
      <w:pPr>
        <w:pStyle w:val="Heading2"/>
      </w:pPr>
      <w:r>
        <w:t xml:space="preserve">12. Уточнение, блокирование и уничтожение</w:t>
      </w:r>
    </w:p>
    <w:p>
      <w:r>
        <w:t xml:space="preserve">12.1. </w:t>
      </w:r>
      <w:r>
        <w:t xml:space="preserve">При подтверждении того, что персональные данные неточны, Оператор уточняет их в течение 7 (семи) рабочих дней со дня представления сведений; при подтверждении того, что они незаконно получены или не являются необходимыми для заявленной цели, — уничтожает их в тот же срок (часть 3 статьи 20 Закона № 152-ФЗ).</w:t>
      </w:r>
    </w:p>
    <w:p>
      <w:r>
        <w:t xml:space="preserve">12.2. </w:t>
      </w:r>
      <w:r>
        <w:t xml:space="preserve">При выявлении неправомерной обработки Оператор прекращает её в течение 3 (трёх) рабочих дней, а при невозможности обеспечить правомерность — уничтожает данные в течение 10 (десяти) рабочих дней с даты выявления (часть 3 статьи 21 Закона № 152-ФЗ).</w:t>
      </w:r>
    </w:p>
    <w:p>
      <w:r>
        <w:t xml:space="preserve">12.3. </w:t>
      </w:r>
      <w:r>
        <w:t xml:space="preserve">При достижении цели обработки или отзыве согласия (если иных оснований обработки нет) Оператор прекращает обработку и уничтожает персональные данные в течение 30 (тридцати) дней (части 4 и 5 статьи 21 Закона № 152-ФЗ). Требование о прекращении обработки исполняется в течение 10 (десяти) рабочих дней с возможностью продления не более чем на 5 (пять) рабочих дней (часть 5.1 статьи 21 Закона № 152-ФЗ).</w:t>
      </w:r>
    </w:p>
    <w:p>
      <w:r>
        <w:t xml:space="preserve">12.4. </w:t>
      </w:r>
      <w:r>
        <w:t xml:space="preserve">Если уничтожение невозможно в указанные сроки, Оператор блокирует данные и уничтожает их в срок не более 6 (шести) месяцев, если иной срок не установлен федеральным законом (часть 6 статьи 21 Закона № 152-ФЗ).</w:t>
      </w:r>
    </w:p>
    <w:p>
      <w:r>
        <w:t xml:space="preserve">12.5. </w:t>
      </w:r>
      <w:r>
        <w:t xml:space="preserve">Уничтожение производится путём удаления записей из баз данных и журналов без возможности восстановления; в резервных копиях данные удаляются по истечении цикла их ротации, не превышающего 30 дней. Факт уничтожения подтверждается актом и (или) выгрузкой из журнала в соответствии с Требованиями к подтверждению уничтожения персональных данных, утверждёнными приказом Роскомнадзора от 28.10.2022 № 179; эти документы хранятся 3 года.</w:t>
      </w:r>
    </w:p>
    <w:p>
      <w:r>
        <w:t xml:space="preserve">12.6. </w:t>
      </w:r>
      <w:r>
        <w:t xml:space="preserve">Требование об удалении Учётной записи исполняется в порядке пункта 6.4: данные, обработка которых продолжается на иных основаниях (раздел 4), — служебная запись об Учётной записи без адреса электронной почты (номер, даты, отметка об удалении; Тариф в ней не хранится), Записи об акцепте, сведения о платежах, возвратах и чеках, записи журнала событий — не уничтожаются до истечения сроков, указанных в разделе 5; Оператор сообщает об этом субъекту в ответе на требование.</w:t>
      </w:r>
    </w:p>
    <w:p>
      <w:pPr>
        <w:pStyle w:val="Heading2"/>
      </w:pPr>
      <w:r>
        <w:t xml:space="preserve">13. Меры по защите персональных данных</w:t>
      </w:r>
    </w:p>
    <w:p>
      <w:r>
        <w:t xml:space="preserve">13.1. </w:t>
      </w:r>
      <w:r>
        <w:t xml:space="preserve">Оператор принимает правовые, организационные и технические меры, необходимые и достаточные для обеспечения выполнения обязанностей, предусмотренных Законом № 152-ФЗ (статьи 18.1 и 19), с учётом требований к защите персональных данных при их обработке в информационных системах, утверждённых постановлением Правительства РФ от 01.11.2012 № 1119. В частности:</w:t>
      </w:r>
    </w:p>
    <w:p>
      <w:pPr>
        <w:tabs>
          <w:tab w:val="left" w:pos="454"/>
        </w:tabs>
        <w:spacing w:after="0"/>
        <w:ind w:left="454" w:hanging="454"/>
        <w:jc w:val="both"/>
      </w:pPr>
      <w:r>
        <w:t xml:space="preserve">—</w:t>
      </w:r>
      <w:r>
        <w:tab/>
      </w:r>
      <w:r>
        <w:t xml:space="preserve">определены цели, состав и сроки обработки; издана и опубликована настоящая Политика;</w:t>
      </w:r>
    </w:p>
    <w:p>
      <w:pPr>
        <w:tabs>
          <w:tab w:val="left" w:pos="454"/>
        </w:tabs>
        <w:spacing w:after="0"/>
        <w:ind w:left="454" w:hanging="454"/>
        <w:jc w:val="both"/>
      </w:pPr>
      <w:r>
        <w:t xml:space="preserve">—</w:t>
      </w:r>
      <w:r>
        <w:tab/>
      </w:r>
      <w:r>
        <w:t xml:space="preserve">сбор данных минимизирован: пароли не используются, для входа нужен только адрес электронной почты, Почта для чека запрашивается только при оплате, Материалы, настройки внешнего вида и отметки интерфейса на сервер не передаются;</w:t>
      </w:r>
    </w:p>
    <w:p>
      <w:pPr>
        <w:tabs>
          <w:tab w:val="left" w:pos="454"/>
        </w:tabs>
        <w:spacing w:after="0"/>
        <w:ind w:left="454" w:hanging="454"/>
        <w:jc w:val="both"/>
      </w:pPr>
      <w:r>
        <w:t xml:space="preserve">—</w:t>
      </w:r>
      <w:r>
        <w:tab/>
      </w:r>
      <w:r>
        <w:t xml:space="preserve">данные банковских карт обрабатываются Платёжным сервисом: полный номер карты и CVC на серверы Оператора не поступают, а сведения о карте в маскированном виде, которые может вернуть Платёжный сервис, не сохраняются;</w:t>
      </w:r>
    </w:p>
    <w:p>
      <w:pPr>
        <w:tabs>
          <w:tab w:val="left" w:pos="454"/>
        </w:tabs>
        <w:spacing w:after="0"/>
        <w:ind w:left="454" w:hanging="454"/>
        <w:jc w:val="both"/>
      </w:pPr>
      <w:r>
        <w:t xml:space="preserve">—</w:t>
      </w:r>
      <w:r>
        <w:tab/>
      </w:r>
      <w:r>
        <w:t xml:space="preserve">передача данных между браузером и сервером осуществляется только по протоколу HTTPS (TLS);</w:t>
      </w:r>
    </w:p>
    <w:p>
      <w:pPr>
        <w:tabs>
          <w:tab w:val="left" w:pos="454"/>
        </w:tabs>
        <w:spacing w:after="0"/>
        <w:ind w:left="454" w:hanging="454"/>
        <w:jc w:val="both"/>
      </w:pPr>
      <w:r>
        <w:t xml:space="preserve">—</w:t>
      </w:r>
      <w:r>
        <w:tab/>
      </w:r>
      <w:r>
        <w:t xml:space="preserve">Коды входа хранятся только в виде результата криптографической хэш-функции с секретным ключом (HMAC) и сравниваются способом, не зависящим по времени от введённого значения; код действует 15 минут, число попыток ввода и запросов кодов ограничено, в журналы Код входа не записывается;</w:t>
      </w:r>
    </w:p>
    <w:p>
      <w:pPr>
        <w:tabs>
          <w:tab w:val="left" w:pos="454"/>
        </w:tabs>
        <w:spacing w:after="0"/>
        <w:ind w:left="454" w:hanging="454"/>
        <w:jc w:val="both"/>
      </w:pPr>
      <w:r>
        <w:t xml:space="preserve">—</w:t>
      </w:r>
      <w:r>
        <w:tab/>
      </w:r>
      <w:r>
        <w:t xml:space="preserve">ответ Сайта на запрос Кода входа одинаков независимо от того, есть ли у адреса Учётная запись, поэтому по Сайту нельзя узнать, пользуется ли человек Сервисом;</w:t>
      </w:r>
    </w:p>
    <w:p>
      <w:pPr>
        <w:tabs>
          <w:tab w:val="left" w:pos="454"/>
        </w:tabs>
        <w:spacing w:after="0"/>
        <w:ind w:left="454" w:hanging="454"/>
        <w:jc w:val="both"/>
      </w:pPr>
      <w:r>
        <w:t xml:space="preserve">—</w:t>
      </w:r>
      <w:r>
        <w:tab/>
      </w:r>
      <w:r>
        <w:t xml:space="preserve">cookie сессии подписывается секретным ключом и устанавливается с атрибутом HttpOnly, что исключает доступ к ней из сценариев на странице;</w:t>
      </w:r>
    </w:p>
    <w:p>
      <w:pPr>
        <w:tabs>
          <w:tab w:val="left" w:pos="454"/>
        </w:tabs>
        <w:spacing w:after="0"/>
        <w:ind w:left="454" w:hanging="454"/>
        <w:jc w:val="both"/>
      </w:pPr>
      <w:r>
        <w:t xml:space="preserve">—</w:t>
      </w:r>
      <w:r>
        <w:tab/>
      </w:r>
      <w:r>
        <w:t xml:space="preserve">Учебные данные каждой Учётной записи хранятся отдельно и передаются только в Приложение, вошедшее в эту Учётную запись;</w:t>
      </w:r>
    </w:p>
    <w:p>
      <w:pPr>
        <w:tabs>
          <w:tab w:val="left" w:pos="454"/>
        </w:tabs>
        <w:spacing w:after="0"/>
        <w:ind w:left="454" w:hanging="454"/>
        <w:jc w:val="both"/>
      </w:pPr>
      <w:r>
        <w:t xml:space="preserve">—</w:t>
      </w:r>
      <w:r>
        <w:tab/>
      </w:r>
      <w:r>
        <w:t xml:space="preserve">доступ к серверу и базам данных имеет только Оператор; доступ защищён индивидуальными учётными данными, административные действия журналируются;</w:t>
      </w:r>
    </w:p>
    <w:p>
      <w:pPr>
        <w:tabs>
          <w:tab w:val="left" w:pos="454"/>
        </w:tabs>
        <w:spacing w:after="0"/>
        <w:ind w:left="454" w:hanging="454"/>
        <w:jc w:val="both"/>
      </w:pPr>
      <w:r>
        <w:t xml:space="preserve">—</w:t>
      </w:r>
      <w:r>
        <w:tab/>
      </w:r>
      <w:r>
        <w:t xml:space="preserve">резервное копирование баз данных выполняется на ресурсах, расположенных в Российской Федерации, с ограниченным сроком хранения копий;</w:t>
      </w:r>
    </w:p>
    <w:p>
      <w:pPr>
        <w:tabs>
          <w:tab w:val="left" w:pos="454"/>
        </w:tabs>
        <w:spacing w:after="0"/>
        <w:ind w:left="454" w:hanging="454"/>
        <w:jc w:val="both"/>
      </w:pPr>
      <w:r>
        <w:t xml:space="preserve">—</w:t>
      </w:r>
      <w:r>
        <w:tab/>
      </w:r>
      <w:r>
        <w:t xml:space="preserve">своевременно устанавливаются обновления безопасности программного обеспечения сервера (автоматические обновления), доступ к серверу ограничен межсетевым экраном, попытки подбора учётных данных для удалённого доступа блокируются автоматически;</w:t>
      </w:r>
    </w:p>
    <w:p>
      <w:pPr>
        <w:tabs>
          <w:tab w:val="left" w:pos="454"/>
        </w:tabs>
        <w:spacing w:after="0"/>
        <w:ind w:left="454" w:hanging="454"/>
        <w:jc w:val="both"/>
      </w:pPr>
      <w:r>
        <w:t xml:space="preserve">—</w:t>
      </w:r>
      <w:r>
        <w:tab/>
      </w:r>
      <w:r>
        <w:t xml:space="preserve">применяются ограничения частоты запросов и иные меры против подбора Кодов входа и автоматизированного извлечения данных;</w:t>
      </w:r>
    </w:p>
    <w:p>
      <w:pPr>
        <w:tabs>
          <w:tab w:val="left" w:pos="454"/>
        </w:tabs>
        <w:spacing w:after="0"/>
        <w:ind w:left="454" w:hanging="454"/>
        <w:jc w:val="both"/>
      </w:pPr>
      <w:r>
        <w:t xml:space="preserve">—</w:t>
      </w:r>
      <w:r>
        <w:tab/>
      </w:r>
      <w:r>
        <w:t xml:space="preserve">выявляются инциденты, связанные с несанкционированным доступом, принимаются меры по их устранению и уведомлению Роскомнадзора;</w:t>
      </w:r>
    </w:p>
    <w:p>
      <w:pPr>
        <w:tabs>
          <w:tab w:val="left" w:pos="454"/>
        </w:tabs>
        <w:spacing w:after="0"/>
        <w:ind w:left="454" w:hanging="454"/>
        <w:jc w:val="both"/>
      </w:pPr>
      <w:r>
        <w:t xml:space="preserve">—</w:t>
      </w:r>
      <w:r>
        <w:tab/>
      </w:r>
      <w:r>
        <w:t xml:space="preserve">периодически проверяется соответствие обработки требованиям Закона № 152-ФЗ и настоящей Политики.</w:t>
      </w:r>
    </w:p>
    <w:p>
      <w:pPr>
        <w:pStyle w:val="Heading2"/>
      </w:pPr>
      <w:r>
        <w:t xml:space="preserve">14. Персональные данные несовершеннолетних</w:t>
      </w:r>
    </w:p>
    <w:p>
      <w:r>
        <w:t xml:space="preserve">14.1. </w:t>
      </w:r>
      <w:r>
        <w:t xml:space="preserve">Сервис предназначен преимущественно для учащихся старших классов. Персональные данные несовершеннолетних, необходимые для исполнения Оферты, обрабатываются на основании пункта 5 части 1 статьи 6 Закона № 152-ФЗ: несовершеннолетний является стороной договора или выгодоприобретателем по нему.</w:t>
      </w:r>
    </w:p>
    <w:p>
      <w:r>
        <w:t xml:space="preserve">14.2. </w:t>
      </w:r>
      <w:r>
        <w:t xml:space="preserve">Лица в возрасте от 14 до 18 лет пользуются Сервисом с согласия Законного представителя, что подтверждается отметкой при Первом входе. За лицо младше 14 лет Оферту и Пользовательское соглашение принимает Законный представитель; в случаях, когда основанием обработки является согласие, его даёт Законный представитель в порядке, предусмотренном Согласием.</w:t>
      </w:r>
    </w:p>
    <w:p>
      <w:r>
        <w:t xml:space="preserve">14.3. </w:t>
      </w:r>
      <w:r>
        <w:t xml:space="preserve">В отношении несовершеннолетних Оператор обрабатывает тот же минимальный перечень данных, что и для остальных Пользователей, и не запрашивает дополнительных сведений о ребёнке. Почту ученика несовершеннолетнего может указать при оплате Законный представитель. Законный представитель вправе реализовать права, указанные в разделе 9, от имени несовершеннолетнего.</w:t>
      </w:r>
    </w:p>
    <w:p>
      <w:r>
        <w:t xml:space="preserve">14.4. </w:t>
      </w:r>
      <w:r>
        <w:t xml:space="preserve">Если Оператору станет известно, что лицо младше 14 лет пользуется Сервисом без участия Законного представителя, Оператор приостанавливает доступ и запрашивает подтверждение у Законного представителя, а при его отсутствии — уничтожает данные в сроки, указанные в разделе 12.</w:t>
      </w:r>
    </w:p>
    <w:p>
      <w:pPr>
        <w:pStyle w:val="Heading2"/>
      </w:pPr>
      <w:r>
        <w:t xml:space="preserve">15. Заключительные положения</w:t>
      </w:r>
    </w:p>
    <w:p>
      <w:r>
        <w:t xml:space="preserve">15.1. </w:t>
      </w:r>
      <w:r>
        <w:t xml:space="preserve">Политика вступает в силу с даты её публикации на Сайте и действует до замены новой редакцией. Сведения о действующих редакциях Документов публикуются в разделе «Документы» Сайта (файл versions.json).</w:t>
      </w:r>
    </w:p>
    <w:p>
      <w:r>
        <w:t xml:space="preserve">15.2. </w:t>
      </w:r>
      <w:r>
        <w:t xml:space="preserve">Оператор вправе изменять Политику, в том числе при изменении законодательства, состава обрабатываемых данных или реквизитов Оператора. Новая редакция публикуется на Сайте. Если изменение потребует согласия субъекта, оно будет запрошено отдельно.</w:t>
      </w:r>
    </w:p>
    <w:p>
      <w:r>
        <w:t xml:space="preserve">15.3. </w:t>
      </w:r>
      <w:r>
        <w:t xml:space="preserve">Лица, виновные в нарушении требований Закона № 152-ФЗ, несут ответственность, предусмотренную законодательством Российской Федерации.</w:t>
      </w:r>
    </w:p>
    <w:p>
      <w:pPr>
        <w:pStyle w:val="Heading2"/>
      </w:pPr>
      <w:r>
        <w:t xml:space="preserve">16. Контакты и реквизиты Оператора</w:t>
      </w:r>
    </w:p>
    <w:tbl>
      <w:tblPr>
        <w:tblStyle w:val="TableGrid"/>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00" w:type="dxa"/>
          <w:bottom w:w="40" w:type="dxa"/>
          <w:right w:w="100" w:type="dxa"/>
        </w:tblCellMar>
      </w:tblPr>
      <w:tblGrid>
        <w:gridCol w:w="2806"/>
        <w:gridCol w:w="6549"/>
      </w:tblGrid>
      <w:tr>
        <w:tc>
          <w:tcPr>
            <w:tcW w:w="2806" w:type="dxa"/>
            <w:shd w:val="clear" w:color="auto" w:fill="F2F2F2"/>
          </w:tcPr>
          <w:p>
            <w:pPr>
              <w:spacing w:after="40" w:line="240" w:lineRule="auto"/>
              <w:jc w:val="left"/>
              <w:rPr>
                <w:sz w:val="20"/>
                <w:szCs w:val="20"/>
              </w:rPr>
            </w:pPr>
            <w:r>
              <w:rPr>
                <w:b/>
                <w:bCs/>
                <w:sz w:val="20"/>
                <w:szCs w:val="20"/>
              </w:rPr>
              <w:t xml:space="preserve">Оператор</w:t>
            </w:r>
          </w:p>
        </w:tc>
        <w:tc>
          <w:tcPr>
            <w:tcW w:w="6549" w:type="dxa"/>
          </w:tcPr>
          <w:p>
            <w:pPr>
              <w:spacing w:after="40" w:line="240" w:lineRule="auto"/>
              <w:jc w:val="left"/>
              <w:rPr>
                <w:sz w:val="20"/>
                <w:szCs w:val="20"/>
              </w:rPr>
            </w:pPr>
            <w:r>
              <w:rPr>
                <w:sz w:val="20"/>
                <w:szCs w:val="20"/>
              </w:rPr>
              <w:t xml:space="preserve">Кульбачный Дмитрий Максимович</w:t>
            </w:r>
          </w:p>
        </w:tc>
      </w:tr>
      <w:tr>
        <w:tc>
          <w:tcPr>
            <w:tcW w:w="2806" w:type="dxa"/>
            <w:shd w:val="clear" w:color="auto" w:fill="F2F2F2"/>
          </w:tcPr>
          <w:p>
            <w:pPr>
              <w:spacing w:after="40" w:line="240" w:lineRule="auto"/>
              <w:jc w:val="left"/>
              <w:rPr>
                <w:sz w:val="20"/>
                <w:szCs w:val="20"/>
              </w:rPr>
            </w:pPr>
            <w:r>
              <w:rPr>
                <w:b/>
                <w:bCs/>
                <w:sz w:val="20"/>
                <w:szCs w:val="20"/>
              </w:rPr>
              <w:t xml:space="preserve">Статус</w:t>
            </w:r>
          </w:p>
        </w:tc>
        <w:tc>
          <w:tcPr>
            <w:tcW w:w="6549" w:type="dxa"/>
          </w:tcPr>
          <w:p>
            <w:pPr>
              <w:spacing w:after="40" w:line="240" w:lineRule="auto"/>
              <w:jc w:val="left"/>
              <w:rPr>
                <w:sz w:val="20"/>
                <w:szCs w:val="20"/>
              </w:rPr>
            </w:pPr>
            <w:r>
              <w:rPr>
                <w:sz w:val="20"/>
                <w:szCs w:val="20"/>
              </w:rPr>
              <w:t xml:space="preserve">физическое лицо — плательщик налога на профессиональный доход (Федеральный закон от 27.11.2018 № 422-ФЗ)</w:t>
            </w:r>
          </w:p>
        </w:tc>
      </w:tr>
      <w:tr>
        <w:tc>
          <w:tcPr>
            <w:tcW w:w="2806" w:type="dxa"/>
            <w:shd w:val="clear" w:color="auto" w:fill="F2F2F2"/>
          </w:tcPr>
          <w:p>
            <w:pPr>
              <w:spacing w:after="40" w:line="240" w:lineRule="auto"/>
              <w:jc w:val="left"/>
              <w:rPr>
                <w:sz w:val="20"/>
                <w:szCs w:val="20"/>
              </w:rPr>
            </w:pPr>
            <w:r>
              <w:rPr>
                <w:b/>
                <w:bCs/>
                <w:sz w:val="20"/>
                <w:szCs w:val="20"/>
              </w:rPr>
              <w:t xml:space="preserve">ИНН</w:t>
            </w:r>
          </w:p>
        </w:tc>
        <w:tc>
          <w:tcPr>
            <w:tcW w:w="6549" w:type="dxa"/>
          </w:tcPr>
          <w:p>
            <w:pPr>
              <w:spacing w:after="40" w:line="240" w:lineRule="auto"/>
              <w:jc w:val="left"/>
              <w:rPr>
                <w:sz w:val="20"/>
                <w:szCs w:val="20"/>
              </w:rPr>
            </w:pPr>
            <w:r>
              <w:rPr>
                <w:sz w:val="20"/>
                <w:szCs w:val="20"/>
              </w:rPr>
              <w:t xml:space="preserve">781460245682</w:t>
            </w:r>
          </w:p>
        </w:tc>
      </w:tr>
      <w:tr>
        <w:tc>
          <w:tcPr>
            <w:tcW w:w="2806" w:type="dxa"/>
            <w:shd w:val="clear" w:color="auto" w:fill="F2F2F2"/>
          </w:tcPr>
          <w:p>
            <w:pPr>
              <w:spacing w:after="40" w:line="240" w:lineRule="auto"/>
              <w:jc w:val="left"/>
              <w:rPr>
                <w:sz w:val="20"/>
                <w:szCs w:val="20"/>
              </w:rPr>
            </w:pPr>
            <w:r>
              <w:rPr>
                <w:b/>
                <w:bCs/>
                <w:sz w:val="20"/>
                <w:szCs w:val="20"/>
              </w:rPr>
              <w:t xml:space="preserve">Адрес для корреспонденции</w:t>
            </w:r>
          </w:p>
        </w:tc>
        <w:tc>
          <w:tcPr>
            <w:tcW w:w="6549" w:type="dxa"/>
          </w:tcPr>
          <w:p>
            <w:pPr>
              <w:spacing w:after="40" w:line="240" w:lineRule="auto"/>
              <w:jc w:val="left"/>
              <w:rPr>
                <w:sz w:val="20"/>
                <w:szCs w:val="20"/>
              </w:rPr>
            </w:pPr>
            <w:r>
              <w:rPr>
                <w:sz w:val="20"/>
                <w:szCs w:val="20"/>
              </w:rPr>
              <w:t xml:space="preserve">сообщается по запросу на электронную почту kdmd100@mail.ru</w:t>
            </w:r>
          </w:p>
        </w:tc>
      </w:tr>
      <w:tr>
        <w:tc>
          <w:tcPr>
            <w:tcW w:w="2806" w:type="dxa"/>
            <w:shd w:val="clear" w:color="auto" w:fill="F2F2F2"/>
          </w:tcPr>
          <w:p>
            <w:pPr>
              <w:spacing w:after="40" w:line="240" w:lineRule="auto"/>
              <w:jc w:val="left"/>
              <w:rPr>
                <w:sz w:val="20"/>
                <w:szCs w:val="20"/>
              </w:rPr>
            </w:pPr>
            <w:r>
              <w:rPr>
                <w:b/>
                <w:bCs/>
                <w:sz w:val="20"/>
                <w:szCs w:val="20"/>
              </w:rPr>
              <w:t xml:space="preserve">Электронная почта</w:t>
            </w:r>
          </w:p>
        </w:tc>
        <w:tc>
          <w:tcPr>
            <w:tcW w:w="6549" w:type="dxa"/>
          </w:tcPr>
          <w:p>
            <w:pPr>
              <w:spacing w:after="40" w:line="240" w:lineRule="auto"/>
              <w:jc w:val="left"/>
              <w:rPr>
                <w:sz w:val="20"/>
                <w:szCs w:val="20"/>
              </w:rPr>
            </w:pPr>
            <w:r>
              <w:rPr>
                <w:sz w:val="20"/>
                <w:szCs w:val="20"/>
              </w:rPr>
              <w:t xml:space="preserve">kdmd100@mail.ru</w:t>
            </w:r>
          </w:p>
        </w:tc>
      </w:tr>
      <w:tr>
        <w:tc>
          <w:tcPr>
            <w:tcW w:w="2806" w:type="dxa"/>
            <w:shd w:val="clear" w:color="auto" w:fill="F2F2F2"/>
          </w:tcPr>
          <w:p>
            <w:pPr>
              <w:spacing w:after="40" w:line="240" w:lineRule="auto"/>
              <w:jc w:val="left"/>
              <w:rPr>
                <w:sz w:val="20"/>
                <w:szCs w:val="20"/>
              </w:rPr>
            </w:pPr>
            <w:r>
              <w:rPr>
                <w:b/>
                <w:bCs/>
                <w:sz w:val="20"/>
                <w:szCs w:val="20"/>
              </w:rPr>
              <w:t xml:space="preserve">Телефон</w:t>
            </w:r>
          </w:p>
        </w:tc>
        <w:tc>
          <w:tcPr>
            <w:tcW w:w="6549" w:type="dxa"/>
          </w:tcPr>
          <w:p>
            <w:pPr>
              <w:spacing w:after="40" w:line="240" w:lineRule="auto"/>
              <w:jc w:val="left"/>
              <w:rPr>
                <w:sz w:val="20"/>
                <w:szCs w:val="20"/>
              </w:rPr>
            </w:pPr>
            <w:r>
              <w:rPr>
                <w:sz w:val="20"/>
                <w:szCs w:val="20"/>
              </w:rPr>
              <w:t xml:space="preserve">+7 968 194-94-91</w:t>
            </w:r>
          </w:p>
        </w:tc>
      </w:tr>
      <w:tr>
        <w:tc>
          <w:tcPr>
            <w:tcW w:w="2806" w:type="dxa"/>
            <w:shd w:val="clear" w:color="auto" w:fill="F2F2F2"/>
          </w:tcPr>
          <w:p>
            <w:pPr>
              <w:spacing w:after="40" w:line="240" w:lineRule="auto"/>
              <w:jc w:val="left"/>
              <w:rPr>
                <w:sz w:val="20"/>
                <w:szCs w:val="20"/>
              </w:rPr>
            </w:pPr>
            <w:r>
              <w:rPr>
                <w:b/>
                <w:bCs/>
                <w:sz w:val="20"/>
                <w:szCs w:val="20"/>
              </w:rPr>
              <w:t xml:space="preserve">Поддержка в Telegram</w:t>
            </w:r>
          </w:p>
        </w:tc>
        <w:tc>
          <w:tcPr>
            <w:tcW w:w="6549" w:type="dxa"/>
          </w:tcPr>
          <w:p>
            <w:pPr>
              <w:spacing w:after="40" w:line="240" w:lineRule="auto"/>
              <w:jc w:val="left"/>
              <w:rPr>
                <w:sz w:val="20"/>
                <w:szCs w:val="20"/>
              </w:rPr>
            </w:pPr>
            <w:r>
              <w:rPr>
                <w:sz w:val="20"/>
                <w:szCs w:val="20"/>
              </w:rPr>
              <w:t xml:space="preserve">@cbaombp</w:t>
            </w:r>
          </w:p>
        </w:tc>
      </w:tr>
      <w:tr>
        <w:tc>
          <w:tcPr>
            <w:tcW w:w="2806" w:type="dxa"/>
            <w:shd w:val="clear" w:color="auto" w:fill="F2F2F2"/>
          </w:tcPr>
          <w:p>
            <w:pPr>
              <w:spacing w:after="40" w:line="240" w:lineRule="auto"/>
              <w:jc w:val="left"/>
              <w:rPr>
                <w:sz w:val="20"/>
                <w:szCs w:val="20"/>
              </w:rPr>
            </w:pPr>
            <w:r>
              <w:rPr>
                <w:b/>
                <w:bCs/>
                <w:sz w:val="20"/>
                <w:szCs w:val="20"/>
              </w:rPr>
              <w:t xml:space="preserve">Сайт</w:t>
            </w:r>
          </w:p>
        </w:tc>
        <w:tc>
          <w:tcPr>
            <w:tcW w:w="6549" w:type="dxa"/>
          </w:tcPr>
          <w:p>
            <w:pPr>
              <w:spacing w:after="40" w:line="240" w:lineRule="auto"/>
              <w:jc w:val="left"/>
              <w:rPr>
                <w:sz w:val="20"/>
                <w:szCs w:val="20"/>
              </w:rPr>
            </w:pPr>
            <w:r>
              <w:rPr>
                <w:sz w:val="20"/>
                <w:szCs w:val="20"/>
              </w:rPr>
              <w:t xml:space="preserve">https://dot100.ru/</w:t>
            </w:r>
          </w:p>
        </w:tc>
      </w:tr>
      <w:tr>
        <w:tc>
          <w:tcPr>
            <w:tcW w:w="2806" w:type="dxa"/>
            <w:shd w:val="clear" w:color="auto" w:fill="F2F2F2"/>
          </w:tcPr>
          <w:p>
            <w:pPr>
              <w:spacing w:after="40" w:line="240" w:lineRule="auto"/>
              <w:jc w:val="left"/>
              <w:rPr>
                <w:sz w:val="20"/>
                <w:szCs w:val="20"/>
              </w:rPr>
            </w:pPr>
            <w:r>
              <w:rPr>
                <w:b/>
                <w:bCs/>
                <w:sz w:val="20"/>
                <w:szCs w:val="20"/>
              </w:rPr>
              <w:t xml:space="preserve">Размещение серверов</w:t>
            </w:r>
          </w:p>
        </w:tc>
        <w:tc>
          <w:tcPr>
            <w:tcW w:w="6549" w:type="dxa"/>
          </w:tcPr>
          <w:p>
            <w:pPr>
              <w:spacing w:after="40" w:line="240" w:lineRule="auto"/>
              <w:jc w:val="left"/>
              <w:rPr>
                <w:sz w:val="20"/>
                <w:szCs w:val="20"/>
              </w:rPr>
            </w:pPr>
            <w:r>
              <w:rPr>
                <w:sz w:val="20"/>
                <w:szCs w:val="20"/>
              </w:rPr>
              <w:t xml:space="preserve">АО «Селектел» (ИНН 7810962785), Российская Федерация</w:t>
            </w:r>
          </w:p>
        </w:tc>
      </w:tr>
    </w:tbl>
    <w:p/>
    <w:sectPr>
      <w:footerReference w:type="default" r:id="rId2"/>
      <w:pgSz w:w="11906" w:h="16838"/>
      <w:pgMar w:top="1134" w:right="850" w:bottom="1134" w:left="1701" w:header="567" w:footer="567" w:gutter="0"/>
      <w:cols w:space="708"/>
    </w:sectPr>
  </w:body>
</w:document>
</file>

<file path=word/footer1.xml><?xml version="1.0" encoding="utf-8"?>
<w:ftr xmlns:w="http://schemas.openxmlformats.org/wordprocessingml/2006/main" xmlns:r="http://schemas.openxmlformats.org/officeDocument/2006/relationships">
  <w:p>
    <w:pPr>
      <w:spacing w:after="0"/>
      <w:jc w:val="center"/>
    </w:pPr>
    <w:r>
      <w:rPr>
        <w:sz w:val="18"/>
        <w:szCs w:val="18"/>
      </w:rPr>
      <w:t xml:space="preserve">Точка 100 — Политика обработки персональных данных · стр. </w:t>
    </w:r>
    <w:fldSimple w:instr=" PAGE ">
      <w:r>
        <w:rPr>
          <w:sz w:val="18"/>
          <w:szCs w:val="18"/>
        </w:rPr>
        <w:t>1</w:t>
      </w:r>
    </w:fldSimple>
    <w:r>
      <w:rPr>
        <w:sz w:val="18"/>
        <w:szCs w:val="18"/>
      </w:rPr>
      <w:t xml:space="preserve"> из </w:t>
    </w:r>
    <w:fldSimple w:instr=" NUMPAGES ">
      <w:r>
        <w:rPr>
          <w:sz w:val="18"/>
          <w:szCs w:val="18"/>
        </w:rPr>
        <w:t>1</w:t>
      </w:r>
    </w:fldSimple>
  </w:p>
</w:ftr>
</file>

<file path=word/styles.xml><?xml version="1.0" encoding="utf-8"?>
<w:styles xmlns:w="http://schemas.openxmlformats.org/wordprocessingml/2006/main">
  <w:docDefaults>
    <w:rPrDefault>
      <w:rPr>
        <w:rFonts w:ascii="Times New Roman" w:hAnsi="Times New Roman" w:eastAsia="Times New Roman" w:cs="Times New Roman"/>
        <w:sz w:val="24"/>
        <w:szCs w:val="24"/>
        <w:lang w:val="ru-RU" w:eastAsia="ru-RU" w:bidi="ar-SA"/>
      </w:rPr>
    </w:rPrDefault>
    <w:pPrDefault>
      <w:pPr>
        <w:spacing w:after="0" w:line="240" w:lineRule="auto"/>
      </w:pPr>
    </w:pPrDefault>
  </w:docDefaults>
  <w:style w:type="paragraph" w:default="1" w:styleId="Normal">
    <w:name w:val="Normal"/>
    <w:qFormat/>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0"/>
      <w:jc w:val="center"/>
      <w:outlineLvl w:val="0"/>
    </w:pPr>
    <w:rPr>
      <w:b/>
      <w:bCs/>
      <w:sz w:val="32"/>
      <w:szCs w:val="32"/>
    </w:rPr>
  </w:style>
  <w:style w:type="paragraph" w:styleId="Heading1">
    <w:name w:val="heading 1"/>
    <w:basedOn w:val="Normal"/>
    <w:next w:val="Normal"/>
    <w:uiPriority w:val="9"/>
    <w:qFormat/>
    <w:pPr>
      <w:keepNext/>
      <w:spacing w:before="120" w:after="0"/>
      <w:jc w:val="center"/>
      <w:outlineLvl w:val="0"/>
    </w:pPr>
    <w:rPr>
      <w:b/>
      <w:bCs/>
      <w:sz w:val="24"/>
      <w:szCs w:val="24"/>
    </w:rPr>
  </w:style>
  <w:style w:type="paragraph" w:styleId="Heading2">
    <w:name w:val="heading 2"/>
    <w:basedOn w:val="Normal"/>
    <w:next w:val="Normal"/>
    <w:uiPriority w:val="9"/>
    <w:unhideWhenUsed/>
    <w:qFormat/>
    <w:pPr>
      <w:keepNext/>
      <w:spacing w:before="120" w:after="0"/>
      <w:jc w:val="center"/>
      <w:outlineLvl w:val="1"/>
    </w:pPr>
    <w:rPr>
      <w:b/>
      <w:bCs/>
      <w:sz w:val="24"/>
      <w:szCs w:val="24"/>
    </w:rPr>
  </w:style>
  <w:style w:type="paragraph" w:styleId="Heading3">
    <w:name w:val="heading 3"/>
    <w:basedOn w:val="Normal"/>
    <w:next w:val="Normal"/>
    <w:uiPriority w:val="9"/>
    <w:unhideWhenUsed/>
    <w:qFormat/>
    <w:pPr>
      <w:keepNext/>
      <w:spacing w:before="60" w:after="0"/>
      <w:jc w:val="left"/>
      <w:outlineLvl w:val="2"/>
    </w:pPr>
    <w:rPr>
      <w:b/>
      <w:bCs/>
      <w:sz w:val="24"/>
      <w:szCs w:val="24"/>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Точка 100 — Политика обработки персональных данных</dc:title>
  <dc:creator>Точка 100</dc:creator>
  <dc:language>ru-RU</dc:language>
  <dcterms:created xsi:type="dcterms:W3CDTF">2026-10-23T14:33:59Z</dcterms:created>
  <dcterms:modified xsi:type="dcterms:W3CDTF">2026-10-23T14:33:59Z</dcterms:modified>
</cp:coreProperties>
</file>