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0"/>
        <w:jc w:val="center"/>
        <w:rPr>
          <w:sz w:val="24"/>
          <w:szCs w:val="24"/>
        </w:rPr>
      </w:pPr>
      <w:r>
        <w:rPr>
          <w:sz w:val="24"/>
          <w:szCs w:val="24"/>
        </w:rPr>
        <w:t xml:space="preserve">Онлайн-сервис «Точка 100»</w:t>
      </w:r>
    </w:p>
    <w:p>
      <w:pPr>
        <w:pStyle w:val="Title"/>
      </w:pPr>
      <w:r>
        <w:t xml:space="preserve">Публичная оферта</w:t>
      </w:r>
    </w:p>
    <w:p>
      <w:pPr>
        <w:spacing w:after="0"/>
        <w:jc w:val="center"/>
        <w:rPr>
          <w:sz w:val="24"/>
          <w:szCs w:val="24"/>
        </w:rPr>
      </w:pPr>
      <w:r>
        <w:rPr>
          <w:b/>
          <w:bCs/>
          <w:sz w:val="24"/>
          <w:szCs w:val="24"/>
        </w:rPr>
        <w:t xml:space="preserve">Лицензионный договор о предоставлении права использования онлайн-сервиса</w:t>
      </w:r>
    </w:p>
    <w:p>
      <w:pPr>
        <w:spacing w:before="120" w:after="0"/>
        <w:jc w:val="center"/>
        <w:rPr>
          <w:sz w:val="24"/>
          <w:szCs w:val="24"/>
        </w:rPr>
      </w:pPr>
      <w:r>
        <w:rPr>
          <w:sz w:val="24"/>
          <w:szCs w:val="24"/>
        </w:rPr>
        <w:t xml:space="preserve">Редакция от 25.10.2026</w:t>
      </w:r>
    </w:p>
    <w:p>
      <w:pPr>
        <w:spacing w:after="240"/>
        <w:jc w:val="center"/>
        <w:rPr>
          <w:sz w:val="24"/>
          <w:szCs w:val="24"/>
        </w:rPr>
      </w:pPr>
      <w:r>
        <w:rPr>
          <w:sz w:val="24"/>
          <w:szCs w:val="24"/>
        </w:rPr>
        <w:t xml:space="preserve">Документ размещён в разделе «Документы» Сайта.</w:t>
      </w:r>
    </w:p>
    <w:p>
      <w:pPr>
        <w:keepNext/>
        <w:spacing w:before="120" w:after="0"/>
        <w:jc w:val="left"/>
      </w:pPr>
      <w:r>
        <w:rPr>
          <w:b/>
          <w:bCs/>
        </w:rPr>
        <w:t xml:space="preserve">Содержание</w:t>
      </w:r>
    </w:p>
    <w:p>
      <w:pPr>
        <w:tabs>
          <w:tab w:val="left" w:pos="510"/>
        </w:tabs>
        <w:spacing w:after="0"/>
        <w:ind w:left="510" w:hanging="510"/>
        <w:jc w:val="both"/>
      </w:pPr>
      <w:r>
        <w:t xml:space="preserve">1.</w:t>
      </w:r>
      <w:r>
        <w:tab/>
      </w:r>
      <w:r>
        <w:t xml:space="preserve">Термины и определения</w:t>
      </w:r>
    </w:p>
    <w:p>
      <w:pPr>
        <w:tabs>
          <w:tab w:val="left" w:pos="510"/>
        </w:tabs>
        <w:spacing w:after="0"/>
        <w:ind w:left="510" w:hanging="510"/>
        <w:jc w:val="both"/>
      </w:pPr>
      <w:r>
        <w:t xml:space="preserve">2.</w:t>
      </w:r>
      <w:r>
        <w:tab/>
      </w:r>
      <w:r>
        <w:t xml:space="preserve">Предмет Договора</w:t>
      </w:r>
    </w:p>
    <w:p>
      <w:pPr>
        <w:tabs>
          <w:tab w:val="left" w:pos="510"/>
        </w:tabs>
        <w:spacing w:after="0"/>
        <w:ind w:left="510" w:hanging="510"/>
        <w:jc w:val="both"/>
      </w:pPr>
      <w:r>
        <w:t xml:space="preserve">3.</w:t>
      </w:r>
      <w:r>
        <w:tab/>
      </w:r>
      <w:r>
        <w:t xml:space="preserve">Порядок заключения Договора (акцепт)</w:t>
      </w:r>
    </w:p>
    <w:p>
      <w:pPr>
        <w:tabs>
          <w:tab w:val="left" w:pos="510"/>
        </w:tabs>
        <w:spacing w:after="0"/>
        <w:ind w:left="510" w:hanging="510"/>
        <w:jc w:val="both"/>
      </w:pPr>
      <w:r>
        <w:t xml:space="preserve">4.</w:t>
      </w:r>
      <w:r>
        <w:tab/>
      </w:r>
      <w:r>
        <w:t xml:space="preserve">Тарифы, оплата и продление</w:t>
      </w:r>
    </w:p>
    <w:p>
      <w:pPr>
        <w:tabs>
          <w:tab w:val="left" w:pos="510"/>
        </w:tabs>
        <w:spacing w:after="0"/>
        <w:ind w:left="510" w:hanging="510"/>
        <w:jc w:val="both"/>
      </w:pPr>
      <w:r>
        <w:t xml:space="preserve">5.</w:t>
      </w:r>
      <w:r>
        <w:tab/>
      </w:r>
      <w:r>
        <w:t xml:space="preserve">Учётная запись и Устройства</w:t>
      </w:r>
    </w:p>
    <w:p>
      <w:pPr>
        <w:tabs>
          <w:tab w:val="left" w:pos="510"/>
        </w:tabs>
        <w:spacing w:after="0"/>
        <w:ind w:left="510" w:hanging="510"/>
        <w:jc w:val="both"/>
      </w:pPr>
      <w:r>
        <w:t xml:space="preserve">6.</w:t>
      </w:r>
      <w:r>
        <w:tab/>
      </w:r>
      <w:r>
        <w:t xml:space="preserve">Права и обязанности Сторон</w:t>
      </w:r>
    </w:p>
    <w:p>
      <w:pPr>
        <w:tabs>
          <w:tab w:val="left" w:pos="510"/>
        </w:tabs>
        <w:spacing w:after="0"/>
        <w:ind w:left="510" w:hanging="510"/>
        <w:jc w:val="both"/>
      </w:pPr>
      <w:r>
        <w:t xml:space="preserve">7.</w:t>
      </w:r>
      <w:r>
        <w:tab/>
      </w:r>
      <w:r>
        <w:t xml:space="preserve">Интеллектуальная собственность</w:t>
      </w:r>
    </w:p>
    <w:p>
      <w:pPr>
        <w:tabs>
          <w:tab w:val="left" w:pos="510"/>
        </w:tabs>
        <w:spacing w:after="0"/>
        <w:ind w:left="510" w:hanging="510"/>
        <w:jc w:val="both"/>
      </w:pPr>
      <w:r>
        <w:t xml:space="preserve">8.</w:t>
      </w:r>
      <w:r>
        <w:tab/>
      </w:r>
      <w:r>
        <w:t xml:space="preserve">Отказ от гарантий и ограничение ответственности</w:t>
      </w:r>
    </w:p>
    <w:p>
      <w:pPr>
        <w:tabs>
          <w:tab w:val="left" w:pos="510"/>
        </w:tabs>
        <w:spacing w:after="0"/>
        <w:ind w:left="510" w:hanging="510"/>
        <w:jc w:val="both"/>
      </w:pPr>
      <w:r>
        <w:t xml:space="preserve">9.</w:t>
      </w:r>
      <w:r>
        <w:tab/>
      </w:r>
      <w:r>
        <w:t xml:space="preserve">Срок действия, приостановление и прекращение</w:t>
      </w:r>
    </w:p>
    <w:p>
      <w:pPr>
        <w:tabs>
          <w:tab w:val="left" w:pos="510"/>
        </w:tabs>
        <w:spacing w:after="0"/>
        <w:ind w:left="510" w:hanging="510"/>
        <w:jc w:val="both"/>
      </w:pPr>
      <w:r>
        <w:t xml:space="preserve">10.</w:t>
      </w:r>
      <w:r>
        <w:tab/>
      </w:r>
      <w:r>
        <w:t xml:space="preserve">Возврат денежных средств</w:t>
      </w:r>
    </w:p>
    <w:p>
      <w:pPr>
        <w:tabs>
          <w:tab w:val="left" w:pos="510"/>
        </w:tabs>
        <w:spacing w:after="0"/>
        <w:ind w:left="510" w:hanging="510"/>
        <w:jc w:val="both"/>
      </w:pPr>
      <w:r>
        <w:t xml:space="preserve">11.</w:t>
      </w:r>
      <w:r>
        <w:tab/>
      </w:r>
      <w:r>
        <w:t xml:space="preserve">Персональные данные и письма</w:t>
      </w:r>
    </w:p>
    <w:p>
      <w:pPr>
        <w:tabs>
          <w:tab w:val="left" w:pos="510"/>
        </w:tabs>
        <w:spacing w:after="0"/>
        <w:ind w:left="510" w:hanging="510"/>
        <w:jc w:val="both"/>
      </w:pPr>
      <w:r>
        <w:t xml:space="preserve">12.</w:t>
      </w:r>
      <w:r>
        <w:tab/>
      </w:r>
      <w:r>
        <w:t xml:space="preserve">Претензии и разрешение споров</w:t>
      </w:r>
    </w:p>
    <w:p>
      <w:pPr>
        <w:tabs>
          <w:tab w:val="left" w:pos="510"/>
        </w:tabs>
        <w:spacing w:after="0"/>
        <w:ind w:left="510" w:hanging="510"/>
        <w:jc w:val="both"/>
      </w:pPr>
      <w:r>
        <w:t xml:space="preserve">13.</w:t>
      </w:r>
      <w:r>
        <w:tab/>
      </w:r>
      <w:r>
        <w:t xml:space="preserve">Изменение Оферты и прочие условия</w:t>
      </w:r>
    </w:p>
    <w:p>
      <w:pPr>
        <w:tabs>
          <w:tab w:val="left" w:pos="510"/>
        </w:tabs>
        <w:spacing w:after="0"/>
        <w:ind w:left="510" w:hanging="510"/>
        <w:jc w:val="both"/>
      </w:pPr>
      <w:r>
        <w:t xml:space="preserve">14.</w:t>
      </w:r>
      <w:r>
        <w:tab/>
      </w:r>
      <w:r>
        <w:t xml:space="preserve">Реквизиты Оператора</w:t>
      </w:r>
    </w:p>
    <w:p>
      <w:r>
        <w:t xml:space="preserve">Настоящий документ является публичной офертой в смысле пункта 2 статьи 437 Гражданского кодекса Российской Федерации (далее — ГК РФ) и содержит все существенные условия лицензионного договора о предоставлении права использования онлайн-сервиса «Точка 100». Оферта адресована любому дееспособному физическому лицу, а также несовершеннолетнему в возрасте от 14 до 18 лет, действующему с согласия законного представителя. Совершение действий, указанных в разделе 3, означает полный и безоговорочный акцепт Оферты (пункты 1 и 3 статьи 438 ГК РФ) и заключение Договора на изложенных ниже условиях.</w:t>
      </w:r>
    </w:p>
    <w:p>
      <w:pPr>
        <w:pStyle w:val="Heading2"/>
      </w:pPr>
      <w:r>
        <w:t xml:space="preserve">1. Термины и определения</w:t>
      </w:r>
    </w:p>
    <w:p>
      <w:r>
        <w:t xml:space="preserve">1.1. </w:t>
      </w:r>
      <w:r>
        <w:rPr>
          <w:b/>
          <w:bCs/>
        </w:rPr>
        <w:t xml:space="preserve">Оператор (Лицензиар)</w:t>
      </w:r>
      <w:r>
        <w:t xml:space="preserve"> — Кульбачный Дмитрий Максимович, ИНН 781460245682, физическое лицо, применяющее специальный налоговый режим «Налог на профессиональный доход» в соответствии с Федеральным законом от 27.11.2018 № 422-ФЗ (далее — Закон № 422-ФЗ), обладатель исключительного права на Приложение и Материалы и оператор персональных данных.</w:t>
      </w:r>
    </w:p>
    <w:p>
      <w:r>
        <w:t xml:space="preserve">1.2. </w:t>
      </w:r>
      <w:r>
        <w:rPr>
          <w:b/>
          <w:bCs/>
        </w:rPr>
        <w:t xml:space="preserve">Сервис</w:t>
      </w:r>
      <w:r>
        <w:t xml:space="preserve"> — онлайн-сервис «Точка 100» для самостоятельной подготовки к единому государственному экзамену (ЕГЭ), включающий Сайт, Приложение и Материалы.</w:t>
      </w:r>
    </w:p>
    <w:p>
      <w:r>
        <w:t xml:space="preserve">1.3. </w:t>
      </w:r>
      <w:r>
        <w:rPr>
          <w:b/>
          <w:bCs/>
        </w:rPr>
        <w:t xml:space="preserve">Сайт</w:t>
      </w:r>
      <w:r>
        <w:t xml:space="preserve"> — сайт Сервиса в сети «Интернет», адрес которого указан в разделе 14, включая все его страницы.</w:t>
      </w:r>
    </w:p>
    <w:p>
      <w:r>
        <w:t xml:space="preserve">1.4. </w:t>
      </w:r>
      <w:r>
        <w:rPr>
          <w:b/>
          <w:bCs/>
        </w:rPr>
        <w:t xml:space="preserve">Приложение</w:t>
      </w:r>
      <w:r>
        <w:t xml:space="preserve"> — одностраничное веб-приложение (программа для ЭВМ), размещённое на Сайте и работающее в браузере: персональный план подготовки, теория, тренажёр заданий, повторение, статистика.</w:t>
      </w:r>
    </w:p>
    <w:p>
      <w:r>
        <w:t xml:space="preserve">1.5. </w:t>
      </w:r>
      <w:r>
        <w:rPr>
          <w:b/>
          <w:bCs/>
        </w:rPr>
        <w:t xml:space="preserve">Материалы</w:t>
      </w:r>
      <w:r>
        <w:t xml:space="preserve"> — входящие в состав Сервиса тексты теории, разборы и пояснения, планы подготовки, подборки и классификация заданий, изображения, элементы интерфейса и иные объекты, исключительные права на которые принадлежат Оператору. Задания ФИПИ и документы ФИПИ к Материалам не относятся.</w:t>
      </w:r>
    </w:p>
    <w:p>
      <w:r>
        <w:t xml:space="preserve">1.6. </w:t>
      </w:r>
      <w:r>
        <w:rPr>
          <w:b/>
          <w:bCs/>
        </w:rPr>
        <w:t xml:space="preserve">Задания ФИПИ</w:t>
      </w:r>
      <w:r>
        <w:t xml:space="preserve"> — задания открытого банка заданий ЕГЭ, а также задания демонстрационных вариантов и методических материалов с ответами и критериями оценивания, размещённые в открытом доступе федеральным государственным бюджетным научным учреждением «Федеральный институт педагогических измерений» (ФИПИ) на сайте https://fipi.ru/.</w:t>
      </w:r>
    </w:p>
    <w:p>
      <w:r>
        <w:t xml:space="preserve">1.7. </w:t>
      </w:r>
      <w:r>
        <w:rPr>
          <w:b/>
          <w:bCs/>
        </w:rPr>
        <w:t xml:space="preserve">Лицензиат</w:t>
      </w:r>
      <w:r>
        <w:t xml:space="preserve"> — лицо, акцептовавшее Оферту: дееспособное физическое лицо (в том числе Законный представитель, приобретающий доступ для несовершеннолетнего) либо несовершеннолетний в возрасте от 14 до 18 лет, действующий с согласия Законного представителя.</w:t>
      </w:r>
    </w:p>
    <w:p>
      <w:r>
        <w:t xml:space="preserve">1.8. </w:t>
      </w:r>
      <w:r>
        <w:rPr>
          <w:b/>
          <w:bCs/>
        </w:rPr>
        <w:t xml:space="preserve">Пользователь</w:t>
      </w:r>
      <w:r>
        <w:t xml:space="preserve"> — физическое лицо, использующее Приложение через Учётную запись. Пользователь может совпадать с Лицензиатом или быть иным лицом, в пользу которого Лицензиат приобрёл доступ.</w:t>
      </w:r>
    </w:p>
    <w:p>
      <w:r>
        <w:t xml:space="preserve">1.9. </w:t>
      </w:r>
      <w:r>
        <w:rPr>
          <w:b/>
          <w:bCs/>
        </w:rPr>
        <w:t xml:space="preserve">Законный представитель</w:t>
      </w:r>
      <w:r>
        <w:t xml:space="preserve"> — родитель, усыновитель, опекун или попечитель несовершеннолетнего.</w:t>
      </w:r>
    </w:p>
    <w:p>
      <w:r>
        <w:t xml:space="preserve">1.10. </w:t>
      </w:r>
      <w:r>
        <w:rPr>
          <w:b/>
          <w:bCs/>
        </w:rPr>
        <w:t xml:space="preserve">Учётная запись</w:t>
      </w:r>
      <w:r>
        <w:t xml:space="preserve"> — запись в Сервисе, привязанная к Почте ученика, через которую Пользователю предоставляется доступ к Приложению на Срок доступа, учитываются Устройства и хранятся Учебные данные. Учётная запись создаётся при первой оплате доступа на Почту ученика, при предоставлении Пробного доступа либо при предоставлении Оператором доступа через Службу поддержки. Пароль для Учётной записи не используется.</w:t>
      </w:r>
    </w:p>
    <w:p>
      <w:r>
        <w:t xml:space="preserve">1.11. </w:t>
      </w:r>
      <w:r>
        <w:rPr>
          <w:b/>
          <w:bCs/>
        </w:rPr>
        <w:t xml:space="preserve">Почта ученика</w:t>
      </w:r>
      <w:r>
        <w:t xml:space="preserve"> — адрес электронной почты Пользователя, к которому привязана Учётная запись. Он указывается при оформлении оплаты или Пробного доступа и служит для входа в Учётную запись и получения сервисных писем (пункт 11.6).</w:t>
      </w:r>
    </w:p>
    <w:p>
      <w:r>
        <w:t xml:space="preserve">1.12. </w:t>
      </w:r>
      <w:r>
        <w:rPr>
          <w:b/>
          <w:bCs/>
        </w:rPr>
        <w:t xml:space="preserve">Почта для чека</w:t>
      </w:r>
      <w:r>
        <w:t xml:space="preserve"> — адрес электронной почты, который Лицензиат указывает при оформлении оплаты для получения чека. Почта для чека может совпадать с Почтой ученика.</w:t>
      </w:r>
    </w:p>
    <w:p>
      <w:r>
        <w:t xml:space="preserve">1.13. </w:t>
      </w:r>
      <w:r>
        <w:rPr>
          <w:b/>
          <w:bCs/>
        </w:rPr>
        <w:t xml:space="preserve">Код входа</w:t>
      </w:r>
      <w:r>
        <w:t xml:space="preserve"> — одноразовый код из 6 (шести) цифр, который Оператор направляет на Почту ученика для входа в Учётную запись на Устройстве. Код входа действует 15 (пятнадцать) минут.</w:t>
      </w:r>
    </w:p>
    <w:p>
      <w:r>
        <w:t xml:space="preserve">1.14. </w:t>
      </w:r>
      <w:r>
        <w:rPr>
          <w:b/>
          <w:bCs/>
        </w:rPr>
        <w:t xml:space="preserve">Служебный номер</w:t>
      </w:r>
      <w:r>
        <w:t xml:space="preserve"> — короткий номер Учётной записи, который Приложение показывает на страницах с Материалами в виде водяного знака. Служебный номер не содержит адреса электронной почты и не позволяет войти в Учётную запись.</w:t>
      </w:r>
    </w:p>
    <w:p>
      <w:r>
        <w:t xml:space="preserve">1.15. </w:t>
      </w:r>
      <w:r>
        <w:rPr>
          <w:b/>
          <w:bCs/>
        </w:rPr>
        <w:t xml:space="preserve">Пробный доступ</w:t>
      </w:r>
      <w:r>
        <w:t xml:space="preserve"> — безвозмездный доступ к Приложению на 7 (семь) дней с ограниченной функциональностью для ознакомления с Сервисом (пункт 4.10).</w:t>
      </w:r>
    </w:p>
    <w:p>
      <w:r>
        <w:t xml:space="preserve">1.16. </w:t>
      </w:r>
      <w:r>
        <w:rPr>
          <w:b/>
          <w:bCs/>
        </w:rPr>
        <w:t xml:space="preserve">Тариф</w:t>
      </w:r>
      <w:r>
        <w:t xml:space="preserve"> — опубликованные на Сайте условия о размере вознаграждения и продолжительности Срока доступа.</w:t>
      </w:r>
    </w:p>
    <w:p>
      <w:r>
        <w:t xml:space="preserve">1.17. </w:t>
      </w:r>
      <w:r>
        <w:rPr>
          <w:b/>
          <w:bCs/>
        </w:rPr>
        <w:t xml:space="preserve">Первый вход</w:t>
      </w:r>
      <w:r>
        <w:t xml:space="preserve"> — первый вход в Учётную запись по Коду входа, при котором Пользователь принимает Документы в порядке пункта 3.3.</w:t>
      </w:r>
    </w:p>
    <w:p>
      <w:r>
        <w:t xml:space="preserve">1.18. </w:t>
      </w:r>
      <w:r>
        <w:rPr>
          <w:b/>
          <w:bCs/>
        </w:rPr>
        <w:t xml:space="preserve">Срок доступа</w:t>
      </w:r>
      <w:r>
        <w:t xml:space="preserve"> — период в календарных днях, в течение которого через Учётную запись доступны занятия и Материалы: по оплаченному Тарифу — число дней, определённое Тарифом и исчисляемое в порядке пункта 4.7; для Пробного доступа — 7 (семь) дней с момента входа по Коду входа; для доступа, предоставленного Оператором безвозмездно через Службу поддержки, — срок, указанный Оператором. Срок доступа действует до даты и времени по московскому времени, указанных в Приложении, а при оплате — также в письме об открытии доступа.</w:t>
      </w:r>
    </w:p>
    <w:p>
      <w:r>
        <w:t xml:space="preserve">1.19. </w:t>
      </w:r>
      <w:r>
        <w:rPr>
          <w:b/>
          <w:bCs/>
        </w:rPr>
        <w:t xml:space="preserve">Устройство</w:t>
      </w:r>
      <w:r>
        <w:t xml:space="preserve"> — браузер (профиль браузера) на компьютере, смартфоне, планшете или ином устройстве, которому Приложение присвоило Идентификатор устройства.</w:t>
      </w:r>
    </w:p>
    <w:p>
      <w:r>
        <w:t xml:space="preserve">1.20. </w:t>
      </w:r>
      <w:r>
        <w:rPr>
          <w:b/>
          <w:bCs/>
        </w:rPr>
        <w:t xml:space="preserve">Идентификатор устройства</w:t>
      </w:r>
      <w:r>
        <w:t xml:space="preserve"> — случайный идентификатор, создаваемый Приложением и хранящийся в браузере. Он не содержит сведений об аппаратном обеспечении и служит для учёта Устройств, привязанных к Учётной записи.</w:t>
      </w:r>
    </w:p>
    <w:p>
      <w:r>
        <w:t xml:space="preserve">1.21. </w:t>
      </w:r>
      <w:r>
        <w:rPr>
          <w:b/>
          <w:bCs/>
        </w:rPr>
        <w:t xml:space="preserve">Учебные данные</w:t>
      </w:r>
      <w:r>
        <w:t xml:space="preserve"> — сведения об учебной активности Пользователя в Приложении: ответы на задания и их результаты, самооценка решений, результаты пробных вариантов экзамена, сведения о занятиях (даты, продолжительность), состояние изучения тем, карточки повторения, персональный план, заметки, ответы анкеты (имя — если Пользователь его указал, дата экзамена, цели, предметы, самооценка уровня подготовки, трудные предметы, удобное время, число дней в неделю, время занятий в день и интенсивность занятий), расписание недели (в том числе события вне Сервиса, например «школа» или «спорт», — их названия, дни и время), настройки занятий, рассчитанные Приложением показатели обучения (например, темп, точность, скорость забывания, типичные ошибки) и параметры подбора плана, а также накопленные сведения о том, как Пользователь пользуется теорией и подсказками (для подбора подачи материала). Учебные данные сохраняются в браузере на Устройстве и передаются на сервер Оператора, где хранятся в Учётной записи, чтобы прогресс был общим на привязанных Устройствах (пункт 11.3). Настройки внешнего вида Приложения, отдельные отметки интерфейса (например, «прочитано» в теории) и Материалы к Учебным данным не относятся: они хранятся только в браузере и на сервер не передаются.</w:t>
      </w:r>
    </w:p>
    <w:p>
      <w:r>
        <w:t xml:space="preserve">1.22. </w:t>
      </w:r>
      <w:r>
        <w:rPr>
          <w:b/>
          <w:bCs/>
        </w:rPr>
        <w:t xml:space="preserve">Резервная копия</w:t>
      </w:r>
      <w:r>
        <w:t xml:space="preserve"> — файл с Учебными данными, который Пользователь по своей инициативе создаёт (экспортирует) средствами Приложения.</w:t>
      </w:r>
    </w:p>
    <w:p>
      <w:r>
        <w:t xml:space="preserve">1.23. </w:t>
      </w:r>
      <w:r>
        <w:rPr>
          <w:b/>
          <w:bCs/>
        </w:rPr>
        <w:t xml:space="preserve">Платёжный сервис</w:t>
      </w:r>
      <w:r>
        <w:t xml:space="preserve"> — сервис приёма платежей ЮKassa, оператором которого является НКО «ЮМани» (ООО) (лицензия Банка России № 3510-К). Через Платёжный сервис Лицензиат оплачивает Тариф на платёжной странице ЮKassa, на которую переходит с Сайта.</w:t>
      </w:r>
    </w:p>
    <w:p>
      <w:r>
        <w:t xml:space="preserve">1.24. </w:t>
      </w:r>
      <w:r>
        <w:rPr>
          <w:b/>
          <w:bCs/>
        </w:rPr>
        <w:t xml:space="preserve">Запись об акцепте</w:t>
      </w:r>
      <w:r>
        <w:t xml:space="preserve"> — сведения, которые Оператор фиксирует при акцепте: при оплате — дата и время, IP-адрес, сведения о браузере (user-agent), Почта ученика, Почта для чека, Тариф, редакция Оферты и отметка о принятии её условий; при Первом входе — дата и время, IP-адрес, сведения о браузере (user-agent), Учётная запись, Идентификатор устройства, редакции Документов и сведения о двух проставленных отметках, указанных в пункте 3.3.</w:t>
      </w:r>
    </w:p>
    <w:p>
      <w:r>
        <w:t xml:space="preserve">1.25. </w:t>
      </w:r>
      <w:r>
        <w:rPr>
          <w:b/>
          <w:bCs/>
        </w:rPr>
        <w:t xml:space="preserve">Документы</w:t>
      </w:r>
      <w:r>
        <w:t xml:space="preserve"> — настоящая Оферта, Пользовательское соглашение, Политика в отношении обработки персональных данных (далее — Политика) и Согласие на обработку персональных данных (далее — Согласие), опубликованные в разделе «Документы» Сайта.</w:t>
      </w:r>
    </w:p>
    <w:p>
      <w:r>
        <w:t xml:space="preserve">1.26. </w:t>
      </w:r>
      <w:r>
        <w:rPr>
          <w:b/>
          <w:bCs/>
        </w:rPr>
        <w:t xml:space="preserve">Договор</w:t>
      </w:r>
      <w:r>
        <w:t xml:space="preserve"> — лицензионный договор между Оператором и Лицензиатом, заключённый путём акцепта Оферты. Оператор и Лицензиат совместно именуются «Стороны».</w:t>
      </w:r>
    </w:p>
    <w:p>
      <w:r>
        <w:t xml:space="preserve">1.27. </w:t>
      </w:r>
      <w:r>
        <w:rPr>
          <w:b/>
          <w:bCs/>
        </w:rPr>
        <w:t xml:space="preserve">Служба поддержки</w:t>
      </w:r>
      <w:r>
        <w:t xml:space="preserve"> — каналы связи с Оператором: электронная почта kdmd100@mail.ru и Telegram @cbaombp.</w:t>
      </w:r>
    </w:p>
    <w:p>
      <w:r>
        <w:t xml:space="preserve">1.28. </w:t>
      </w:r>
      <w:r>
        <w:t xml:space="preserve">Термины, не определённые в Оферте, толкуются в соответствии с другими Документами и законодательством Российской Федерации.</w:t>
      </w:r>
    </w:p>
    <w:p>
      <w:pPr>
        <w:pStyle w:val="Heading2"/>
      </w:pPr>
      <w:r>
        <w:t xml:space="preserve">2. Предмет Договора</w:t>
      </w:r>
    </w:p>
    <w:p>
      <w:r>
        <w:t xml:space="preserve">2.1. </w:t>
      </w:r>
      <w:r>
        <w:t xml:space="preserve">Оператор предоставляет Лицензиату, а при приобретении доступа для другого лица — указанному Лицензиатом Пользователю, на Срок доступа право использования Приложения и Материалов на условиях простой (неисключительной) лицензии (статьи 1235, 1236, пункт 5 статьи 1286 ГК РФ), а Лицензиат уплачивает вознаграждение в соответствии с Тарифом.</w:t>
      </w:r>
    </w:p>
    <w:p>
      <w:r>
        <w:t xml:space="preserve">2.2. </w:t>
      </w:r>
      <w:r>
        <w:t xml:space="preserve">Право использования предоставляется следующими способами: воспроизведение Приложения и Материалов в памяти Устройства (браузера) в объёме, необходимом для их функционирования, и использование функций Приложения по назначению — для личной самостоятельной подготовки Пользователя к ЕГЭ в некоммерческих целях. Иные способы использования по Договору не предоставляются.</w:t>
      </w:r>
    </w:p>
    <w:p>
      <w:r>
        <w:t xml:space="preserve">2.3. </w:t>
      </w:r>
      <w:r>
        <w:t xml:space="preserve">Территория использования не ограничена. Вознаграждение уплачивается в виде фиксированного разового платежа за весь Срок доступа.</w:t>
      </w:r>
    </w:p>
    <w:p>
      <w:r>
        <w:t xml:space="preserve">2.4. </w:t>
      </w:r>
      <w:r>
        <w:t xml:space="preserve">Учётная запись открывает доступ ко всем предметам, представленным в Приложении, в течение Срока доступа. Оператор вправе обновлять Приложение и Материалы, дополнять их и исправлять ошибки при условии, что потребительские свойства Сервиса в течение оплаченного Срока доступа существенно не ухудшаются.</w:t>
      </w:r>
    </w:p>
    <w:p>
      <w:r>
        <w:t xml:space="preserve">2.5. </w:t>
      </w:r>
      <w:r>
        <w:t xml:space="preserve">Задания ФИПИ не являются объектом лицензии по Договору: они используются в Сервисе как общедоступные материалы третьего лица со ссылкой на источник (раздел 7). Вознаграждение уплачивается за право использования Приложения и Материалов — персонального плана, теории, разборов, диагностики и иных результатов, созданных Оператором. Отдельная плата за Задания ФИПИ не устанавливается; в Приложении они доступны в течение Срока доступа вместе с Материалами.</w:t>
      </w:r>
    </w:p>
    <w:p>
      <w:r>
        <w:t xml:space="preserve">2.6. </w:t>
      </w:r>
      <w:r>
        <w:t xml:space="preserve">Оператор не является образовательной организацией, не реализует образовательные программы, не проводит аттестацию и не выдаёт документов об образовании или квалификации. Использование Сервиса является самостоятельной подготовкой Пользователя.</w:t>
      </w:r>
    </w:p>
    <w:p>
      <w:r>
        <w:t xml:space="preserve">2.7. </w:t>
      </w:r>
      <w:r>
        <w:t xml:space="preserve">Лицензиат не вправе предоставлять право использования Приложения и Материалов другим лицам (заключать сублицензионные договоры, статья 1238 ГК РФ), за исключением указания одного Пользователя (его Почты ученика) в порядке пункта 3.4.</w:t>
      </w:r>
    </w:p>
    <w:p>
      <w:pPr>
        <w:pStyle w:val="Heading2"/>
      </w:pPr>
      <w:r>
        <w:t xml:space="preserve">3. Порядок заключения Договора (акцепт)</w:t>
      </w:r>
    </w:p>
    <w:p>
      <w:r>
        <w:t xml:space="preserve">3.1. </w:t>
      </w:r>
      <w:r>
        <w:t xml:space="preserve">Оферта действует с даты её публикации на Сайте до её отзыва Оператором.</w:t>
      </w:r>
    </w:p>
    <w:p>
      <w:r>
        <w:t xml:space="preserve">3.2. </w:t>
      </w:r>
      <w:r>
        <w:t xml:space="preserve">Акцептом Оферты признаётся любое из следующих действий (пункт 3 статьи 438 ГК РФ):</w:t>
      </w:r>
    </w:p>
    <w:p>
      <w:pPr>
        <w:spacing w:after="0"/>
        <w:ind w:left="425" w:hanging="425"/>
        <w:jc w:val="both"/>
      </w:pPr>
      <w:r>
        <w:t xml:space="preserve">а) оплата Тарифа на Сайте через Платёжный сервис после проставления в окне оформления отметки </w:t>
      </w:r>
      <w:r>
        <w:rPr>
          <w:b/>
          <w:bCs/>
        </w:rPr>
        <w:t xml:space="preserve">«Принимаю условия публичной оферты»</w:t>
      </w:r>
      <w:r>
        <w:t xml:space="preserve"> в порядке, указанном в разделе 4;</w:t>
      </w:r>
    </w:p>
    <w:p>
      <w:pPr>
        <w:spacing w:after="0"/>
        <w:ind w:left="425" w:hanging="425"/>
        <w:jc w:val="both"/>
      </w:pPr>
      <w:r>
        <w:t xml:space="preserve">б) нажатие в Приложении кнопки </w:t>
      </w:r>
      <w:r>
        <w:rPr>
          <w:b/>
          <w:bCs/>
        </w:rPr>
        <w:t xml:space="preserve">«Принять и продолжить»</w:t>
      </w:r>
      <w:r>
        <w:t xml:space="preserve"> при Первом входе при проставленных отметках, предусмотренных пунктом 3.3.</w:t>
      </w:r>
    </w:p>
    <w:p>
      <w:r>
        <w:t xml:space="preserve">Договор считается заключённым с момента совершения первого из этих действий. Начало использования Приложения через Учётную запись также означает согласие с условиями Договора (пункт 5 статьи 1286 ГК РФ).</w:t>
      </w:r>
    </w:p>
    <w:p>
      <w:r>
        <w:t xml:space="preserve">3.3. </w:t>
      </w:r>
      <w:r>
        <w:t xml:space="preserve">При Первом входе Приложение показывает ссылки на Оферту, Пользовательское соглашение и Политику и две отметки, каждую из которых Пользователь проставляет самостоятельно:</w:t>
      </w:r>
    </w:p>
    <w:p>
      <w:pPr>
        <w:pBdr>
          <w:left w:val="single" w:sz="18" w:space="6" w:color="7F7F7F"/>
        </w:pBdr>
        <w:shd w:val="clear" w:color="auto" w:fill="F2F2F2"/>
        <w:spacing w:before="60" w:after="60"/>
        <w:ind w:left="340"/>
        <w:jc w:val="left"/>
      </w:pPr>
      <w:r>
        <w:t xml:space="preserve">«Я принимаю Публичную оферту и Пользовательское соглашение».</w:t>
      </w:r>
    </w:p>
    <w:p>
      <w:pPr>
        <w:pBdr>
          <w:left w:val="single" w:sz="18" w:space="6" w:color="7F7F7F"/>
        </w:pBdr>
        <w:shd w:val="clear" w:color="auto" w:fill="F2F2F2"/>
        <w:spacing w:before="60" w:after="60"/>
        <w:ind w:left="340"/>
        <w:jc w:val="left"/>
      </w:pPr>
      <w:r>
        <w:t xml:space="preserve">«Мне исполнилось 18 лет либо я действую с согласия законного представителя».</w:t>
      </w:r>
    </w:p>
    <w:p>
      <w:r>
        <w:t xml:space="preserve">Кнопка </w:t>
      </w:r>
      <w:r>
        <w:rPr>
          <w:b/>
          <w:bCs/>
        </w:rPr>
        <w:t xml:space="preserve">«Принять и продолжить»</w:t>
      </w:r>
      <w:r>
        <w:t xml:space="preserve"> становится доступной после проставления обеих отметок. Под кнопкой размещается информационная строка: </w:t>
      </w:r>
      <w:r>
        <w:rPr>
          <w:b/>
          <w:bCs/>
        </w:rPr>
        <w:t xml:space="preserve">«Нажимая кнопку, вы подтверждаете, что ознакомлены с Политикой обработки персональных данных»</w:t>
      </w:r>
      <w:r>
        <w:t xml:space="preserve">. Эта строка информирует Пользователя об условиях обработки персональных данных (статьи 18 и 18.1 Федерального закона от 27.07.2006 № 152-ФЗ «О персональных данных», далее — Закон № 152-ФЗ) и не является согласием на их обработку.</w:t>
      </w:r>
    </w:p>
    <w:p>
      <w:r>
        <w:t xml:space="preserve">3.4. </w:t>
      </w:r>
      <w:r>
        <w:t xml:space="preserve">Если доступ оплачен одним лицом (Лицензиатом), а Учётная запись оформлена на Почту ученика другого лица (Пользователя), в том числе в подарок, Договор считается заключённым в пользу Пользователя (статья 430 ГК РФ). Лицензиат обязан ознакомить Пользователя с Документами; Пользователь при Первом входе принимает Документы от своего имени.</w:t>
      </w:r>
    </w:p>
    <w:p>
      <w:r>
        <w:t xml:space="preserve">3.5. </w:t>
      </w:r>
      <w:r>
        <w:t xml:space="preserve">Несовершеннолетние Пользователи и Лицензиаты:</w:t>
      </w:r>
    </w:p>
    <w:p>
      <w:r>
        <w:t xml:space="preserve">3.5.1. </w:t>
      </w:r>
      <w:r>
        <w:t xml:space="preserve">лицо в возрасте от 14 до 18 лет вправе совершить акцепт с письменного согласия Законного представителя или при последующем письменном одобрении им сделки (пункт 1 статьи 26 ГК РФ). Проставляя вторую отметку, указанную в пункте 3.3, такое лицо подтверждает наличие согласия Законного представителя. Законный представитель вправе сам совершить акцепт и оплату;</w:t>
      </w:r>
    </w:p>
    <w:p>
      <w:r>
        <w:t xml:space="preserve">3.5.2. </w:t>
      </w:r>
      <w:r>
        <w:t xml:space="preserve">лицо младше 14 лет может пользоваться Сервисом только в случае, если Договор заключён, а Документы приняты его Законным представителем (статья 28 ГК РФ), который отвечает за использование Сервиса таким лицом;</w:t>
      </w:r>
    </w:p>
    <w:p>
      <w:r>
        <w:t xml:space="preserve">3.5.3. </w:t>
      </w:r>
      <w:r>
        <w:t xml:space="preserve">Оператор не собирает сведения о возрасте и вправе полагаться на отметку Пользователя. При обоснованных сомнениях Оператор вправе запросить подтверждение согласия Законного представителя (например, сообщение Законного представителя по электронной почте) и приостановить доступ до его получения; Срок доступа на время такой проверки продлевается.</w:t>
      </w:r>
    </w:p>
    <w:p>
      <w:r>
        <w:t xml:space="preserve">3.6. </w:t>
      </w:r>
      <w:r>
        <w:t xml:space="preserve">Оператор фиксирует акцепт в Записи об акцепте, включающей сведения о двух отметках, указанных в пункте 3.3. Стороны признают Запись об акцепте, сведения Платёжного сервиса о платеже, сведения о входах в Учётную запись по Кодам входа и переписку со Службой поддержки надлежащими доказательствами заключения Договора и принятия Документов соответствующей редакции. Письменная форма Договора считается соблюдённой (пункт 1 статьи 160, пункт 3 статьи 434 ГК РФ, пункт 5 статьи 1286 ГК РФ).</w:t>
      </w:r>
    </w:p>
    <w:p>
      <w:r>
        <w:t xml:space="preserve">3.7. </w:t>
      </w:r>
      <w:r>
        <w:t xml:space="preserve">Договор является договором присоединения (статья 428 ГК РФ): Лицензиат принимает его условия в целом, без изъятий и оговорок.</w:t>
      </w:r>
    </w:p>
    <w:p>
      <w:r>
        <w:t xml:space="preserve">3.8. </w:t>
      </w:r>
      <w:r>
        <w:t xml:space="preserve">До оплаты Лицензиат или Пользователь вправе получить Пробный доступ (пункт 4.10) и ознакомиться с функциями Сервиса, требованиями к Устройству и Документами.</w:t>
      </w:r>
    </w:p>
    <w:p>
      <w:pPr>
        <w:pStyle w:val="Heading2"/>
      </w:pPr>
      <w:r>
        <w:t xml:space="preserve">4. Тарифы, оплата и продление</w:t>
      </w:r>
    </w:p>
    <w:p>
      <w:r>
        <w:t xml:space="preserve">4.1. </w:t>
      </w:r>
      <w:r>
        <w:t xml:space="preserve">Размер вознаграждения и продолжительность Срока доступа определяются Тарифом, опубликованным на Сайте на момент оплаты. На дату настоящей редакции действуют Тарифы: «Месяц» (31 день) — 5 000 ₽; «3 месяца» (92 дня) — 10 000 ₽; «9 месяцев» (275 дней) — 25 000 ₽. Каждый Тариф открывает доступ ко всем предметам.</w:t>
      </w:r>
    </w:p>
    <w:p>
      <w:r>
        <w:t xml:space="preserve">4.2. </w:t>
      </w:r>
      <w:r>
        <w:t xml:space="preserve">Вознаграждение НДС не облагается в связи с применением Оператором специального налогового режима «Налог на профессиональный доход».</w:t>
      </w:r>
    </w:p>
    <w:p>
      <w:r>
        <w:t xml:space="preserve">4.3. </w:t>
      </w:r>
      <w:r>
        <w:t xml:space="preserve">Оплата производится на Сайте. В окне оформления Лицензиат выбирает Тариф, указывает Почту ученика — адрес, по которому Пользователь будет входить в Учётную запись, — и Почту для чека (она может совпадать с Почтой ученика), проставляет отметку </w:t>
      </w:r>
      <w:r>
        <w:rPr>
          <w:b/>
          <w:bCs/>
        </w:rPr>
        <w:t xml:space="preserve">«Принимаю условия публичной оферты»</w:t>
      </w:r>
      <w:r>
        <w:t xml:space="preserve"> и переходит на платёжную страницу Платёжного сервиса, где оплачивает Тариф способами, доступными на этой странице. Данные банковской карты и иные платёжные реквизиты вводятся на странице Платёжного сервиса, обрабатываются НКО «ЮМани» (ООО) по её правилам; полный номер карты и CVC Оператору не передаются. Оплата может быть произведена за Лицензиата третьим лицом (статья 313 ГК РФ).</w:t>
      </w:r>
    </w:p>
    <w:p>
      <w:r>
        <w:t xml:space="preserve">4.4. </w:t>
      </w:r>
      <w:r>
        <w:t xml:space="preserve">Обязанность по оплате считается исполненной с момента получения Оператором от Платёжного сервиса подтверждения успешного платежа. Оператор не взимает с Лицензиата дополнительной платы за проведение платежа; комиссии банка плательщика (при их наличии) несёт плательщик.</w:t>
      </w:r>
    </w:p>
    <w:p>
      <w:r>
        <w:t xml:space="preserve">4.5. </w:t>
      </w:r>
      <w:r>
        <w:t xml:space="preserve">Оператор формирует чек в соответствии со статьёй 14 Закона № 422-ФЗ и направляет его в электронной форме на Почту для чека.</w:t>
      </w:r>
    </w:p>
    <w:p>
      <w:r>
        <w:t xml:space="preserve">4.6. </w:t>
      </w:r>
      <w:r>
        <w:t xml:space="preserve">После получения от Платёжного сервиса подтверждения успешного платежа Оператор открывает доступ по Учётной записи, привязанной к Почте ученика (если такой Учётной записи нет — создаёт её), и направляет на Почту ученика письмо об открытии доступа. Пользователь входит в Учётную запись по Коду входа (пункт 5.2). Лицензиат отвечает за правильность указанных адресов электронной почты. Если доступ не открылся в течение 1 (одного) рабочего дня после оплаты, Лицензиат обращается в Службу поддержки, которая открывает доступ после проверки платежа.</w:t>
      </w:r>
    </w:p>
    <w:p>
      <w:r>
        <w:t xml:space="preserve">4.7. </w:t>
      </w:r>
      <w:r>
        <w:t xml:space="preserve">Срок доступа по оплаченному Тарифу исчисляется с момента подтверждения оплаты. Если в этот момент по Учётной записи действует оплаченный Срок доступа, новый Срок доступа прибавляется к окончанию текущего и начинается после его окончания; так же новый Срок доступа прибавляется к окончанию доступа, предоставленного Оператором через Службу поддержки. Если в этот момент действует Пробный доступ, новый Срок доступа исчисляется с момента подтверждения оплаты, а Пробный доступ прекращается.</w:t>
      </w:r>
    </w:p>
    <w:p>
      <w:r>
        <w:t xml:space="preserve">4.8. </w:t>
      </w:r>
      <w:r>
        <w:t xml:space="preserve">Доступ можно оформить для другого лица, в том числе в подарок: в этом случае Почтой ученика указывается адрес электронной почты получателя, который становится Пользователем (пункт 3.4).</w:t>
      </w:r>
    </w:p>
    <w:p>
      <w:r>
        <w:t xml:space="preserve">4.9. </w:t>
      </w:r>
      <w:r>
        <w:t xml:space="preserve">Продление производится вручную — новой оплатой по действующему Тарифу в порядке пунктов 4.3–4.7; автоматические списания (автоплатёж) не применяются. За 3 (три) дня до окончания Срока доступа Оператор направляет на Почту ученика письмо с датой окончания и ссылкой на оформление продления, а после окончания — письмо о том, что Срок доступа истёк. Такие письма направляются по оплаченному доступу и по доступу, предоставленному Оператором через Службу поддержки; при Пробном доступе они не направляются. Эти письма являются уведомлениями об исполнении Договора, а не рекламной рассылкой.</w:t>
      </w:r>
    </w:p>
    <w:p>
      <w:r>
        <w:t xml:space="preserve">4.10. </w:t>
      </w:r>
      <w:r>
        <w:t xml:space="preserve">Пробный доступ предоставляется безвозмездно: на Сайте Пользователь указывает адрес электронной почты и вводит направленный на него Код входа, после чего создаётся Учётная запись с Пробным доступом на 7 (семь) дней. Пробный доступ предоставляется один раз на один адрес электронной почты и не предоставляется адресу, по которому ранее была произведена оплата. Оператор вправе ограничить функциональность Пробного доступа; действующие ограничения показываются в Приложении. К Пробному доступу применяются положения Оферты, за исключением положений об оплате и возврате денежных средств. После удаления Учётной записи по запросу (пункт 6.4) Пробный доступ на тот же адрес может быть предоставлен повторно.</w:t>
      </w:r>
    </w:p>
    <w:p>
      <w:r>
        <w:t xml:space="preserve">4.11. </w:t>
      </w:r>
      <w:r>
        <w:t xml:space="preserve">Оператор вправе изменять Тарифы, проводить акции и предоставлять скидки, публикуя условия на Сайте. Изменение Тарифов не влияет на уже оплаченный Срок доступа.</w:t>
      </w:r>
    </w:p>
    <w:p>
      <w:pPr>
        <w:pStyle w:val="Heading2"/>
      </w:pPr>
      <w:r>
        <w:t xml:space="preserve">5. Учётная запись и Устройства</w:t>
      </w:r>
    </w:p>
    <w:p>
      <w:r>
        <w:t xml:space="preserve">5.1. </w:t>
      </w:r>
      <w:r>
        <w:t xml:space="preserve">Учётная запись предназначена для одного Пользователя. Передача доступа к Учётной записи третьим лицам (в том числе сообщение им Кода входа), её продажа и совместное использование несколькими лицами запрещены.</w:t>
      </w:r>
    </w:p>
    <w:p>
      <w:r>
        <w:t xml:space="preserve">5.2. </w:t>
      </w:r>
      <w:r>
        <w:t xml:space="preserve">Для входа в Учётную запись на Устройстве Пользователь указывает на Сайте Почту ученика и вводит Код входа из письма, направленного на этот адрес. Код входа можно использовать один раз и только в течение 15 (пятнадцати) минут; при запросе нового кода ранее направленный перестаёт действовать. Число попыток ввода и запросов Кода входа ограничено в целях защиты от подбора.</w:t>
      </w:r>
    </w:p>
    <w:p>
      <w:r>
        <w:t xml:space="preserve">5.3. </w:t>
      </w:r>
      <w:r>
        <w:t xml:space="preserve">Вход сохраняется на Устройстве до выхода из Учётной записи (кнопка выхода в Приложении), но не дольше 400 (четырёхсот) дней; до этого повторно вводить Код входа на этом Устройстве не требуется. Срок доступа проверяется сервером Оператора при открытии Приложения и при загрузке Материалов.</w:t>
      </w:r>
    </w:p>
    <w:p>
      <w:r>
        <w:t xml:space="preserve">5.4. </w:t>
      </w:r>
      <w:r>
        <w:t xml:space="preserve">Учётная запись может быть одновременно привязана не более чем к двум Устройствам разного типа (например, компьютер и смартфон, компьютер и планшет, планшет и смартфон). Привязка происходит при входе по Коду входа. Пользоваться Приложением одновременно можно только на одном из привязанных Устройств: когда Пользователь начинает занятие на одном Устройстве, на другом работа Приложения приостанавливается до тех пор, пока Пользователь не продолжит занятие на нём. Учебные данные общие для привязанных Устройств (пункт 11.3).</w:t>
      </w:r>
    </w:p>
    <w:p>
      <w:r>
        <w:t xml:space="preserve">5.5. </w:t>
      </w:r>
      <w:r>
        <w:t xml:space="preserve">Привязку можно освободить, выйдя из Учётной записи на этом Устройстве (кнопка выхода в Приложении), либо по обращению в Службу поддержки. Повторный вход на ранее привязанном Устройстве не считается сменой, если место для Устройства этого типа свободно; если его уже заняло другое Устройство того же типа, возврат на прежнее Устройство считается сменой. Привязать новое Устройство (войти на нём по Коду входа) вместо освобождённого или вместо привязанного Устройства того же типа можно не чаще одного раза в 30 (тридцать) дней; при утрате или неисправности Устройства замена производится по обращению в Службу поддержки без учёта этого срока. Очистка данных браузера, режим «инкогнито», переустановка браузера или смена профиля могут привести к созданию нового Идентификатора устройства.</w:t>
      </w:r>
    </w:p>
    <w:p>
      <w:r>
        <w:t xml:space="preserve">5.6. </w:t>
      </w:r>
      <w:r>
        <w:t xml:space="preserve">Срок доступа не приостанавливается из-за неиспользования Сервиса, кроме случаев продления, предусмотренных пунктами 3.5.3, 8.7 и 9.3.</w:t>
      </w:r>
    </w:p>
    <w:p>
      <w:r>
        <w:t xml:space="preserve">5.7. </w:t>
      </w:r>
      <w:r>
        <w:t xml:space="preserve">Если Пользователь утратил доступ к Почте ученика (например, почтовый ящик удалён или заблокирован), Оператор по обращению в Службу поддержки и после подтверждения связи обратившегося лица с Учётной записью (Почта для чека, дата и сумма платежа или иные сведения) привязывает Учётную запись вместе с оставшимся Сроком доступа и Учебными данными к другому адресу электронной почты. Смена адреса завершает вход на всех привязанных Устройствах; повторный вход выполняется по Коду входа, направленному на новый адрес. Если связь с Учётной записью не подтверждена, Оператор вправе отказать в изменении адреса, чтобы не допустить доступа другого лица.</w:t>
      </w:r>
    </w:p>
    <w:p>
      <w:r>
        <w:t xml:space="preserve">5.8. </w:t>
      </w:r>
      <w:r>
        <w:t xml:space="preserve">Пользователь обеспечивает сохранность доступа к Почте ученика и не сообщает Коды входа другим лицам. Действия, совершённые в Учётной записи после входа по Коду входа, считаются совершёнными Пользователем, пока Оператор не получил сообщение о несанкционированном доступе. После такого сообщения Оператор завершает вход на всех привязанных Устройствах (освобождает привязки) и при необходимости привязывает Учётную запись к другому адресу в порядке пункта 5.7.</w:t>
      </w:r>
    </w:p>
    <w:p>
      <w:r>
        <w:t xml:space="preserve">5.9. </w:t>
      </w:r>
      <w:r>
        <w:t xml:space="preserve">На страницах с Материалами Приложение показывает Служебный номер в виде водяного знака. По нему Оператор может определить Учётную запись, если копии Материалов обнаружены за пределами Сервиса. Удалять или скрывать водяной знак запрещается (пункт 7.4).</w:t>
      </w:r>
    </w:p>
    <w:p>
      <w:r>
        <w:t xml:space="preserve">5.10. </w:t>
      </w:r>
      <w:r>
        <w:t xml:space="preserve">Если имеются признаки нарушения пункта 5.1 (одновременное использование Учётной записи разными лицами, систематическая смена Устройств, публикация Кодов входа или Материалов со Служебным номером), Оператор вправе приостановить доступ к Учётной записи в порядке пункта 9.3.</w:t>
      </w:r>
    </w:p>
    <w:p>
      <w:pPr>
        <w:pStyle w:val="Heading2"/>
      </w:pPr>
      <w:r>
        <w:t xml:space="preserve">6. Права и обязанности Сторон</w:t>
      </w:r>
    </w:p>
    <w:p>
      <w:r>
        <w:t xml:space="preserve">6.1. </w:t>
      </w:r>
      <w:r>
        <w:t xml:space="preserve">Оператор обязуется:</w:t>
      </w:r>
    </w:p>
    <w:p>
      <w:pPr>
        <w:tabs>
          <w:tab w:val="left" w:pos="454"/>
        </w:tabs>
        <w:spacing w:after="0"/>
        <w:ind w:left="454" w:hanging="454"/>
        <w:jc w:val="both"/>
      </w:pPr>
      <w:r>
        <w:t xml:space="preserve">—</w:t>
      </w:r>
      <w:r>
        <w:tab/>
      </w:r>
      <w:r>
        <w:t xml:space="preserve">открыть доступ по Учётной записи после поступления оплаты в порядке, указанном в пункте 4.6;</w:t>
      </w:r>
    </w:p>
    <w:p>
      <w:pPr>
        <w:tabs>
          <w:tab w:val="left" w:pos="454"/>
        </w:tabs>
        <w:spacing w:after="0"/>
        <w:ind w:left="454" w:hanging="454"/>
        <w:jc w:val="both"/>
      </w:pPr>
      <w:r>
        <w:t xml:space="preserve">—</w:t>
      </w:r>
      <w:r>
        <w:tab/>
      </w:r>
      <w:r>
        <w:t xml:space="preserve">обеспечивать доступ к Приложению в течение Срока доступа, за исключением перерывов, указанных в пункте 8.7;</w:t>
      </w:r>
    </w:p>
    <w:p>
      <w:pPr>
        <w:tabs>
          <w:tab w:val="left" w:pos="454"/>
        </w:tabs>
        <w:spacing w:after="0"/>
        <w:ind w:left="454" w:hanging="454"/>
        <w:jc w:val="both"/>
      </w:pPr>
      <w:r>
        <w:t xml:space="preserve">—</w:t>
      </w:r>
      <w:r>
        <w:tab/>
      </w:r>
      <w:r>
        <w:t xml:space="preserve">хранить Учебные данные в Учётной записи в сроки, указанные в Политике;</w:t>
      </w:r>
    </w:p>
    <w:p>
      <w:pPr>
        <w:tabs>
          <w:tab w:val="left" w:pos="454"/>
        </w:tabs>
        <w:spacing w:after="0"/>
        <w:ind w:left="454" w:hanging="454"/>
        <w:jc w:val="both"/>
      </w:pPr>
      <w:r>
        <w:t xml:space="preserve">—</w:t>
      </w:r>
      <w:r>
        <w:tab/>
      </w:r>
      <w:r>
        <w:t xml:space="preserve">рассматривать обращения и претензии в сроки, указанные в разделе 12;</w:t>
      </w:r>
    </w:p>
    <w:p>
      <w:pPr>
        <w:tabs>
          <w:tab w:val="left" w:pos="454"/>
        </w:tabs>
        <w:spacing w:after="0"/>
        <w:ind w:left="454" w:hanging="454"/>
        <w:jc w:val="both"/>
      </w:pPr>
      <w:r>
        <w:t xml:space="preserve">—</w:t>
      </w:r>
      <w:r>
        <w:tab/>
      </w:r>
      <w:r>
        <w:t xml:space="preserve">обрабатывать персональные данные в соответствии с Законом № 152-ФЗ и Политикой;</w:t>
      </w:r>
    </w:p>
    <w:p>
      <w:pPr>
        <w:tabs>
          <w:tab w:val="left" w:pos="454"/>
        </w:tabs>
        <w:spacing w:after="0"/>
        <w:ind w:left="454" w:hanging="454"/>
        <w:jc w:val="both"/>
      </w:pPr>
      <w:r>
        <w:t xml:space="preserve">—</w:t>
      </w:r>
      <w:r>
        <w:tab/>
      </w:r>
      <w:r>
        <w:t xml:space="preserve">уведомлять об изменении Документов в порядке раздела 13.</w:t>
      </w:r>
    </w:p>
    <w:p>
      <w:r>
        <w:t xml:space="preserve">6.2. </w:t>
      </w:r>
      <w:r>
        <w:t xml:space="preserve">Оператор вправе:</w:t>
      </w:r>
    </w:p>
    <w:p>
      <w:pPr>
        <w:tabs>
          <w:tab w:val="left" w:pos="454"/>
        </w:tabs>
        <w:spacing w:after="0"/>
        <w:ind w:left="454" w:hanging="454"/>
        <w:jc w:val="both"/>
      </w:pPr>
      <w:r>
        <w:t xml:space="preserve">—</w:t>
      </w:r>
      <w:r>
        <w:tab/>
      </w:r>
      <w:r>
        <w:t xml:space="preserve">обновлять и совершенствовать Приложение и Материалы с учётом пункта 2.4;</w:t>
      </w:r>
    </w:p>
    <w:p>
      <w:pPr>
        <w:tabs>
          <w:tab w:val="left" w:pos="454"/>
        </w:tabs>
        <w:spacing w:after="0"/>
        <w:ind w:left="454" w:hanging="454"/>
        <w:jc w:val="both"/>
      </w:pPr>
      <w:r>
        <w:t xml:space="preserve">—</w:t>
      </w:r>
      <w:r>
        <w:tab/>
      </w:r>
      <w:r>
        <w:t xml:space="preserve">проводить плановые и внеплановые технические работы;</w:t>
      </w:r>
    </w:p>
    <w:p>
      <w:pPr>
        <w:tabs>
          <w:tab w:val="left" w:pos="454"/>
        </w:tabs>
        <w:spacing w:after="0"/>
        <w:ind w:left="454" w:hanging="454"/>
        <w:jc w:val="both"/>
      </w:pPr>
      <w:r>
        <w:t xml:space="preserve">—</w:t>
      </w:r>
      <w:r>
        <w:tab/>
      </w:r>
      <w:r>
        <w:t xml:space="preserve">приостанавливать доступ к Учётной записи в случаях, указанных в пункте 9.3;</w:t>
      </w:r>
    </w:p>
    <w:p>
      <w:pPr>
        <w:tabs>
          <w:tab w:val="left" w:pos="454"/>
        </w:tabs>
        <w:spacing w:after="0"/>
        <w:ind w:left="454" w:hanging="454"/>
        <w:jc w:val="both"/>
      </w:pPr>
      <w:r>
        <w:t xml:space="preserve">—</w:t>
      </w:r>
      <w:r>
        <w:tab/>
      </w:r>
      <w:r>
        <w:t xml:space="preserve">запрашивать сведения, необходимые для подтверждения покупки, связи обратившегося лица с Учётной записью, полномочий Законного представителя или рассмотрения обращения;</w:t>
      </w:r>
    </w:p>
    <w:p>
      <w:pPr>
        <w:tabs>
          <w:tab w:val="left" w:pos="454"/>
        </w:tabs>
        <w:spacing w:after="0"/>
        <w:ind w:left="454" w:hanging="454"/>
        <w:jc w:val="both"/>
      </w:pPr>
      <w:r>
        <w:t xml:space="preserve">—</w:t>
      </w:r>
      <w:r>
        <w:tab/>
      </w:r>
      <w:r>
        <w:t xml:space="preserve">размещать Сервис на серверах хостинг-провайдера, расположенных на территории Российской Федерации (сведения о провайдере приведены в разделе 14).</w:t>
      </w:r>
    </w:p>
    <w:p>
      <w:r>
        <w:t xml:space="preserve">6.3. </w:t>
      </w:r>
      <w:r>
        <w:t xml:space="preserve">Лицензиат обязуется соблюдать Документы сам и обеспечить их соблюдение Пользователем, в том числе:</w:t>
      </w:r>
    </w:p>
    <w:p>
      <w:pPr>
        <w:tabs>
          <w:tab w:val="left" w:pos="454"/>
        </w:tabs>
        <w:spacing w:after="0"/>
        <w:ind w:left="454" w:hanging="454"/>
        <w:jc w:val="both"/>
      </w:pPr>
      <w:r>
        <w:t xml:space="preserve">—</w:t>
      </w:r>
      <w:r>
        <w:tab/>
      </w:r>
      <w:r>
        <w:t xml:space="preserve">использовать Сервис только способами, указанными в пункте 2.2, и не совершать действий, запрещённых пунктом 7.4 и Пользовательским соглашением;</w:t>
      </w:r>
    </w:p>
    <w:p>
      <w:pPr>
        <w:tabs>
          <w:tab w:val="left" w:pos="454"/>
        </w:tabs>
        <w:spacing w:after="0"/>
        <w:ind w:left="454" w:hanging="454"/>
        <w:jc w:val="both"/>
      </w:pPr>
      <w:r>
        <w:t xml:space="preserve">—</w:t>
      </w:r>
      <w:r>
        <w:tab/>
      </w:r>
      <w:r>
        <w:t xml:space="preserve">не передавать доступ к Учётной записи и Коды входа третьим лицам;</w:t>
      </w:r>
    </w:p>
    <w:p>
      <w:pPr>
        <w:tabs>
          <w:tab w:val="left" w:pos="454"/>
        </w:tabs>
        <w:spacing w:after="0"/>
        <w:ind w:left="454" w:hanging="454"/>
        <w:jc w:val="both"/>
      </w:pPr>
      <w:r>
        <w:t xml:space="preserve">—</w:t>
      </w:r>
      <w:r>
        <w:tab/>
      </w:r>
      <w:r>
        <w:t xml:space="preserve">указывать достоверные адреса электронной почты при оформлении оплаты и сообщать достоверные сведения при обращениях к Оператору.</w:t>
      </w:r>
    </w:p>
    <w:p>
      <w:r>
        <w:t xml:space="preserve">6.4. </w:t>
      </w:r>
      <w:r>
        <w:t xml:space="preserve">Лицензиат (Пользователь) вправе:</w:t>
      </w:r>
    </w:p>
    <w:p>
      <w:pPr>
        <w:tabs>
          <w:tab w:val="left" w:pos="454"/>
        </w:tabs>
        <w:spacing w:after="0"/>
        <w:ind w:left="454" w:hanging="454"/>
        <w:jc w:val="both"/>
      </w:pPr>
      <w:r>
        <w:t xml:space="preserve">—</w:t>
      </w:r>
      <w:r>
        <w:tab/>
      </w:r>
      <w:r>
        <w:t xml:space="preserve">использовать Приложение и Материалы в течение Срока доступа в пределах пункта 2.2;</w:t>
      </w:r>
    </w:p>
    <w:p>
      <w:pPr>
        <w:tabs>
          <w:tab w:val="left" w:pos="454"/>
        </w:tabs>
        <w:spacing w:after="0"/>
        <w:ind w:left="454" w:hanging="454"/>
        <w:jc w:val="both"/>
      </w:pPr>
      <w:r>
        <w:t xml:space="preserve">—</w:t>
      </w:r>
      <w:r>
        <w:tab/>
      </w:r>
      <w:r>
        <w:t xml:space="preserve">пользоваться общими Учебными данными на любом из привязанных Устройств;</w:t>
      </w:r>
    </w:p>
    <w:p>
      <w:pPr>
        <w:tabs>
          <w:tab w:val="left" w:pos="454"/>
        </w:tabs>
        <w:spacing w:after="0"/>
        <w:ind w:left="454" w:hanging="454"/>
        <w:jc w:val="both"/>
      </w:pPr>
      <w:r>
        <w:t xml:space="preserve">—</w:t>
      </w:r>
      <w:r>
        <w:tab/>
      </w:r>
      <w:r>
        <w:t xml:space="preserve">получать консультации Службы поддержки по работе Сервиса;</w:t>
      </w:r>
    </w:p>
    <w:p>
      <w:pPr>
        <w:tabs>
          <w:tab w:val="left" w:pos="454"/>
        </w:tabs>
        <w:spacing w:after="0"/>
        <w:ind w:left="454" w:hanging="454"/>
        <w:jc w:val="both"/>
      </w:pPr>
      <w:r>
        <w:t xml:space="preserve">—</w:t>
      </w:r>
      <w:r>
        <w:tab/>
      </w:r>
      <w:r>
        <w:t xml:space="preserve">экспортировать свои Учебные данные в Резервную копию и импортировать их;</w:t>
      </w:r>
    </w:p>
    <w:p>
      <w:pPr>
        <w:tabs>
          <w:tab w:val="left" w:pos="454"/>
        </w:tabs>
        <w:spacing w:after="0"/>
        <w:ind w:left="454" w:hanging="454"/>
        <w:jc w:val="both"/>
      </w:pPr>
      <w:r>
        <w:t xml:space="preserve">—</w:t>
      </w:r>
      <w:r>
        <w:tab/>
      </w:r>
      <w:r>
        <w:t xml:space="preserve">требовать удаления Учётной записи вместе с Учебными данными в порядке, предусмотренном Политикой (что удаляется сразу и что хранится дальше по иным основаниям — раздел 4 и пункт 6.4 Политики); с удалением Учётной записи доступ по ней и оплаченный Срок доступа прекращаются. Если оплаченный Срок доступа ещё не истёк, Оператор до удаления сообщает Пользователю и (или) плательщику, что Срок доступа прекратится, а возврат денежных средств производится только по отдельному заявлению в порядке раздела 10 (пункт 10.9);</w:t>
      </w:r>
    </w:p>
    <w:p>
      <w:pPr>
        <w:tabs>
          <w:tab w:val="left" w:pos="454"/>
        </w:tabs>
        <w:spacing w:after="0"/>
        <w:ind w:left="454" w:hanging="454"/>
        <w:jc w:val="both"/>
      </w:pPr>
      <w:r>
        <w:t xml:space="preserve">—</w:t>
      </w:r>
      <w:r>
        <w:tab/>
      </w:r>
      <w:r>
        <w:t xml:space="preserve">направлять Оператору обращения и претензии;</w:t>
      </w:r>
    </w:p>
    <w:p>
      <w:pPr>
        <w:tabs>
          <w:tab w:val="left" w:pos="454"/>
        </w:tabs>
        <w:spacing w:after="0"/>
        <w:ind w:left="454" w:hanging="454"/>
        <w:jc w:val="both"/>
      </w:pPr>
      <w:r>
        <w:t xml:space="preserve">—</w:t>
      </w:r>
      <w:r>
        <w:tab/>
      </w:r>
      <w:r>
        <w:t xml:space="preserve">отказаться от Договора и получить возврат денежных средств в порядке раздела 10.</w:t>
      </w:r>
    </w:p>
    <w:p>
      <w:r>
        <w:t xml:space="preserve">6.5. </w:t>
      </w:r>
      <w:r>
        <w:t xml:space="preserve">Для работы Приложения необходимы актуальная версия современного браузера с включёнными JavaScript, cookies и локальным хранилищем, подключение к сети «Интернет» и доступ к Почте ученика для получения Кодов входа. Обеспечение соответствия Устройства этим требованиям лежит на Пользователе; проверить работу Приложения на своём Устройстве можно до оплаты в Пробном доступе.</w:t>
      </w:r>
    </w:p>
    <w:p>
      <w:pPr>
        <w:pStyle w:val="Heading2"/>
      </w:pPr>
      <w:r>
        <w:t xml:space="preserve">7. Интеллектуальная собственность</w:t>
      </w:r>
    </w:p>
    <w:p>
      <w:r>
        <w:t xml:space="preserve">7.1. </w:t>
      </w:r>
      <w:r>
        <w:t xml:space="preserve">Исключительные права на Приложение (включая программный код, интерфейс и дизайн) и Материалы принадлежат Оператору. Договор не предусматривает отчуждения исключительного права; Лицензиату предоставляется только право использования в пределах раздела 2.</w:t>
      </w:r>
    </w:p>
    <w:p>
      <w:r>
        <w:t xml:space="preserve">7.2. </w:t>
      </w:r>
      <w:r>
        <w:t xml:space="preserve">Задания ФИПИ и документы ФИПИ (демонстрационные варианты, спецификации, кодификаторы) — общедоступные материалы третьего лица, размещённые ФИПИ на его сайте. Оператор не является их правообладателем, не претендует на права на них и не заявляет о связи Сервиса с ФИПИ: Сервис не является официальным ресурсом ФИПИ или органов государственной власти. Задания открытого банка приводятся в Приложении с указанием источника и ссылкой на задание в открытом банке на сайте ФИПИ, а задания и критерии оценивания из демонстрационных вариантов и методических материалов — со ссылкой на документ на сайте ФИПИ; возможны отличия в оформлении заданий от их представления на сайте ФИПИ. Документы ФИПИ на Сайте целиком не размещаются: Сервис даёт ссылки на страницы сайта https://fipi.ru/, где они опубликованы. Заявления правообладателей, в том числе в отношении Заданий ФИПИ, рассматриваются в порядке, установленном пунктами 6.5–6.7 Пользовательского соглашения.</w:t>
      </w:r>
    </w:p>
    <w:p>
      <w:r>
        <w:t xml:space="preserve">7.3. </w:t>
      </w:r>
      <w:r>
        <w:t xml:space="preserve">Сайт и Приложение содержат ссылки на внешние ресурсы (сайт ФИПИ, сторонние образовательные сайты). Оператор не контролирует такие ресурсы и не отвечает за их содержание; порядок их использования регулируется Пользовательским соглашением.</w:t>
      </w:r>
    </w:p>
    <w:p>
      <w:r>
        <w:t xml:space="preserve">7.4. </w:t>
      </w:r>
      <w:r>
        <w:t xml:space="preserve">Запрещается:</w:t>
      </w:r>
    </w:p>
    <w:p>
      <w:pPr>
        <w:tabs>
          <w:tab w:val="left" w:pos="454"/>
        </w:tabs>
        <w:spacing w:after="0"/>
        <w:ind w:left="454" w:hanging="454"/>
        <w:jc w:val="both"/>
      </w:pPr>
      <w:r>
        <w:t xml:space="preserve">—</w:t>
      </w:r>
      <w:r>
        <w:tab/>
      </w:r>
      <w:r>
        <w:t xml:space="preserve">копировать, воспроизводить (кроме случаев, указанных в пункте 2.2), распространять, публиковать, переводить и перерабатывать Приложение и Материалы;</w:t>
      </w:r>
    </w:p>
    <w:p>
      <w:pPr>
        <w:tabs>
          <w:tab w:val="left" w:pos="454"/>
        </w:tabs>
        <w:spacing w:after="0"/>
        <w:ind w:left="454" w:hanging="454"/>
        <w:jc w:val="both"/>
      </w:pPr>
      <w:r>
        <w:t xml:space="preserve">—</w:t>
      </w:r>
      <w:r>
        <w:tab/>
      </w:r>
      <w:r>
        <w:t xml:space="preserve">декомпилировать, дизассемблировать и модифицировать программный код Приложения, кроме случаев, прямо разрешённых статьёй 1280 ГК РФ;</w:t>
      </w:r>
    </w:p>
    <w:p>
      <w:pPr>
        <w:tabs>
          <w:tab w:val="left" w:pos="454"/>
        </w:tabs>
        <w:spacing w:after="0"/>
        <w:ind w:left="454" w:hanging="454"/>
        <w:jc w:val="both"/>
      </w:pPr>
      <w:r>
        <w:t xml:space="preserve">—</w:t>
      </w:r>
      <w:r>
        <w:tab/>
      </w:r>
      <w:r>
        <w:t xml:space="preserve">автоматизированно извлекать Материалы, задания, ответы и разборы (парсинг, скрейпинг, массовая выгрузка);</w:t>
      </w:r>
    </w:p>
    <w:p>
      <w:pPr>
        <w:tabs>
          <w:tab w:val="left" w:pos="454"/>
        </w:tabs>
        <w:spacing w:after="0"/>
        <w:ind w:left="454" w:hanging="454"/>
        <w:jc w:val="both"/>
      </w:pPr>
      <w:r>
        <w:t xml:space="preserve">—</w:t>
      </w:r>
      <w:r>
        <w:tab/>
      </w:r>
      <w:r>
        <w:t xml:space="preserve">обходить технические средства защиты (статья 1299 ГК РФ), в том числе проверку входа в Учётную запись, ограничение числа Устройств и запрет копирования Материалов;</w:t>
      </w:r>
    </w:p>
    <w:p>
      <w:pPr>
        <w:tabs>
          <w:tab w:val="left" w:pos="454"/>
        </w:tabs>
        <w:spacing w:after="0"/>
        <w:ind w:left="454" w:hanging="454"/>
        <w:jc w:val="both"/>
      </w:pPr>
      <w:r>
        <w:t xml:space="preserve">—</w:t>
      </w:r>
      <w:r>
        <w:tab/>
      </w:r>
      <w:r>
        <w:t xml:space="preserve">передавать доступ к Учётной записи, предоставлять доступ за плату или безвозмездно третьим лицам;</w:t>
      </w:r>
    </w:p>
    <w:p>
      <w:pPr>
        <w:tabs>
          <w:tab w:val="left" w:pos="454"/>
        </w:tabs>
        <w:spacing w:after="0"/>
        <w:ind w:left="454" w:hanging="454"/>
        <w:jc w:val="both"/>
      </w:pPr>
      <w:r>
        <w:t xml:space="preserve">—</w:t>
      </w:r>
      <w:r>
        <w:tab/>
      </w:r>
      <w:r>
        <w:t xml:space="preserve">использовать Сервис для создания конкурирующих продуктов или в коммерческих целях;</w:t>
      </w:r>
    </w:p>
    <w:p>
      <w:pPr>
        <w:tabs>
          <w:tab w:val="left" w:pos="454"/>
        </w:tabs>
        <w:spacing w:after="0"/>
        <w:ind w:left="454" w:hanging="454"/>
        <w:jc w:val="both"/>
      </w:pPr>
      <w:r>
        <w:t xml:space="preserve">—</w:t>
      </w:r>
      <w:r>
        <w:tab/>
      </w:r>
      <w:r>
        <w:t xml:space="preserve">удалять или скрывать водяной знак со Служебным номером, указания на правообладателя и на источники материалов.</w:t>
      </w:r>
    </w:p>
    <w:p>
      <w:r>
        <w:t xml:space="preserve">7.5. </w:t>
      </w:r>
      <w:r>
        <w:t xml:space="preserve">Использование Приложения и Материалов способами, не предусмотренными Договором, или за пределами предоставленных прав влечёт ответственность за нарушение исключительного права (пункт 3 статьи 1237, статьи 1252, 1301 ГК РФ).</w:t>
      </w:r>
    </w:p>
    <w:p>
      <w:r>
        <w:t xml:space="preserve">7.6. </w:t>
      </w:r>
      <w:r>
        <w:t xml:space="preserve">Отзывы, предложения и сообщения об ошибках, направленные Оператору, Оператор вправе безвозмездно использовать для улучшения Сервиса без указания имени отправителя.</w:t>
      </w:r>
    </w:p>
    <w:p>
      <w:pPr>
        <w:pStyle w:val="Heading2"/>
      </w:pPr>
      <w:r>
        <w:t xml:space="preserve">8. Отказ от гарантий и ограничение ответственности</w:t>
      </w:r>
    </w:p>
    <w:p>
      <w:r>
        <w:t xml:space="preserve">8.1. </w:t>
      </w:r>
      <w:r>
        <w:t xml:space="preserve">Сервис предоставляется в том виде, в котором он существует на момент использования. Оператор принимает разумные меры для его корректной работы, но в пределах, допускаемых законом, не гарантирует отсутствие ошибок и бесперебойную работу Сервиса.</w:t>
      </w:r>
    </w:p>
    <w:p>
      <w:r>
        <w:t xml:space="preserve">8.2. </w:t>
      </w:r>
      <w:r>
        <w:t xml:space="preserve">Оператор не гарантирует получение определённого количества баллов на ЕГЭ, поступление в образовательную организацию или иной результат. Результат подготовки зависит от усилий Пользователя и иных обстоятельств. Прогнозы, оценки и статистика в Приложении носят ориентировочный характер.</w:t>
      </w:r>
    </w:p>
    <w:p>
      <w:r>
        <w:t xml:space="preserve">8.3. </w:t>
      </w:r>
      <w:r>
        <w:t xml:space="preserve">Оператор не гарантирует совпадения заданий в Сервисе с заданиями экзамена. Структуру и содержание ЕГЭ определяют уполномоченные органы; Пользователь самостоятельно сверяется с официальными документами на сайте ФИПИ.</w:t>
      </w:r>
    </w:p>
    <w:p>
      <w:r>
        <w:t xml:space="preserve">8.4. </w:t>
      </w:r>
      <w:r>
        <w:t xml:space="preserve">Оператор не несёт ответственности:</w:t>
      </w:r>
    </w:p>
    <w:p>
      <w:pPr>
        <w:tabs>
          <w:tab w:val="left" w:pos="454"/>
        </w:tabs>
        <w:spacing w:after="0"/>
        <w:ind w:left="454" w:hanging="454"/>
        <w:jc w:val="both"/>
      </w:pPr>
      <w:r>
        <w:t xml:space="preserve">—</w:t>
      </w:r>
      <w:r>
        <w:tab/>
      </w:r>
      <w:r>
        <w:t xml:space="preserve">за утрату изменений Учебных данных, которые не были переданы на сервер Оператора (например, изменений, сделанных без подключения к сети «Интернет», если до восстановления подключения были очищены данные браузера), а также Учебных данных, удалённых самим Пользователем. Такая утрата не является недостатком Сервиса;</w:t>
      </w:r>
    </w:p>
    <w:p>
      <w:pPr>
        <w:tabs>
          <w:tab w:val="left" w:pos="454"/>
        </w:tabs>
        <w:spacing w:after="0"/>
        <w:ind w:left="454" w:hanging="454"/>
        <w:jc w:val="both"/>
      </w:pPr>
      <w:r>
        <w:t xml:space="preserve">—</w:t>
      </w:r>
      <w:r>
        <w:tab/>
      </w:r>
      <w:r>
        <w:t xml:space="preserve">за работу Платёжного сервиса, банков, операторов связи, почтовых сервисов и мессенджеров, браузеров и Устройств Пользователя;</w:t>
      </w:r>
    </w:p>
    <w:p>
      <w:pPr>
        <w:tabs>
          <w:tab w:val="left" w:pos="454"/>
        </w:tabs>
        <w:spacing w:after="0"/>
        <w:ind w:left="454" w:hanging="454"/>
        <w:jc w:val="both"/>
      </w:pPr>
      <w:r>
        <w:t xml:space="preserve">—</w:t>
      </w:r>
      <w:r>
        <w:tab/>
      </w:r>
      <w:r>
        <w:t xml:space="preserve">за неполучение писем (в том числе с Кодом входа или чеком) вследствие указания Лицензиатом или Пользователем неверного адреса электронной почты, переполнения или блокировки почтового ящика либо работы фильтров нежелательной почты на стороне получателя;</w:t>
      </w:r>
    </w:p>
    <w:p>
      <w:pPr>
        <w:tabs>
          <w:tab w:val="left" w:pos="454"/>
        </w:tabs>
        <w:spacing w:after="0"/>
        <w:ind w:left="454" w:hanging="454"/>
        <w:jc w:val="both"/>
      </w:pPr>
      <w:r>
        <w:t xml:space="preserve">—</w:t>
      </w:r>
      <w:r>
        <w:tab/>
      </w:r>
      <w:r>
        <w:t xml:space="preserve">за действия лиц, получивших доступ к Учётной записи, Почте ученика или Коду входа от Лицензиата или Пользователя либо по их вине;</w:t>
      </w:r>
    </w:p>
    <w:p>
      <w:pPr>
        <w:tabs>
          <w:tab w:val="left" w:pos="454"/>
        </w:tabs>
        <w:spacing w:after="0"/>
        <w:ind w:left="454" w:hanging="454"/>
        <w:jc w:val="both"/>
      </w:pPr>
      <w:r>
        <w:t xml:space="preserve">—</w:t>
      </w:r>
      <w:r>
        <w:tab/>
      </w:r>
      <w:r>
        <w:t xml:space="preserve">за содержание и доступность внешних ресурсов.</w:t>
      </w:r>
    </w:p>
    <w:p>
      <w:r>
        <w:t xml:space="preserve">8.5. </w:t>
      </w:r>
      <w:r>
        <w:t xml:space="preserve">Ответственность Оператора по Договору ограничивается реальным ущербом в размере, не превышающем суммы вознаграждения, фактически уплаченного за Срок доступа, в связи с которым предъявлено требование.</w:t>
      </w:r>
    </w:p>
    <w:p>
      <w:r>
        <w:t xml:space="preserve">8.6. </w:t>
      </w:r>
      <w:r>
        <w:t xml:space="preserve">Ограничения, установленные пунктами 8.1, 8.4 и 8.5, не применяются в случаях, когда ответственность не может быть ограничена в силу закона, в том числе при умышленном нарушении обязательства (пункт 4 статьи 401 ГК РФ), а в отношениях с потребителем — в части, противоречащей пункту 2 статьи 400 ГК РФ и статье 16 Закона РФ от 07.02.1992 № 2300-1 «О защите прав потребителей» (далее — Закон о защите прав потребителей).</w:t>
      </w:r>
    </w:p>
    <w:p>
      <w:r>
        <w:t xml:space="preserve">8.7. </w:t>
      </w:r>
      <w:r>
        <w:t xml:space="preserve">Оператор вправе проводить плановые технические работы, по возможности в ночное время по московскому времени, с предварительным уведомлением на Сайте или в Приложении. Перерывы на время таких работ, а также недоступность Сервиса из-за сбоев у третьих лиц или обстоятельств непреодолимой силы не являются нарушением Договора. Если Приложение было недоступно по вине Оператора более 24 часов подряд, Оператор по обращению Пользователя продлевает Срок доступа на период недоступности, округлённый до полных суток в большую сторону.</w:t>
      </w:r>
    </w:p>
    <w:p>
      <w:r>
        <w:t xml:space="preserve">8.8. </w:t>
      </w:r>
      <w:r>
        <w:t xml:space="preserve">Стороны освобождаются от ответственности за неисполнение обязательств, вызванное обстоятельствами непреодолимой силы (пункт 3 статьи 401 ГК РФ).</w:t>
      </w:r>
    </w:p>
    <w:p>
      <w:pPr>
        <w:pStyle w:val="Heading2"/>
      </w:pPr>
      <w:r>
        <w:t xml:space="preserve">9. Срок действия, приостановление и прекращение</w:t>
      </w:r>
    </w:p>
    <w:p>
      <w:r>
        <w:t xml:space="preserve">9.1. </w:t>
      </w:r>
      <w:r>
        <w:t xml:space="preserve">Договор действует с момента заключения до истечения Срока доступа (срок действия лицензии). Положения разделов 7, 8, 10 и 12 действуют до полного исполнения обязательств Сторон.</w:t>
      </w:r>
    </w:p>
    <w:p>
      <w:r>
        <w:t xml:space="preserve">9.2. </w:t>
      </w:r>
      <w:r>
        <w:t xml:space="preserve">По истечении Срока доступа вход в Учётную запись сохраняется, но занятия и Материалы становятся недоступны: вместо них Приложение показывает экран продления со сводкой выполненной работы. Учебные данные хранятся на сервере Оператора в течение 3 (трёх) лет после окончания Срока доступа (Политика); если в этот период доступ продлён, занятия продолжаются с сохранённым прогрессом. Продление производится в порядке пункта 4.9.</w:t>
      </w:r>
    </w:p>
    <w:p>
      <w:r>
        <w:t xml:space="preserve">9.3. </w:t>
      </w:r>
      <w:r>
        <w:t xml:space="preserve">Оператор вправе приостановить доступ к Учётной записи в целях пресечения действий, нарушающих исключительное право Оператора или создающих угрозу его нарушения (подпункт 2 пункта 1 статьи 1252 ГК РФ), в том числе при нарушении пунктов 5.1, 5.9 и 7.4, а также при угрозе безопасности Сервиса. Оператор сообщает Пользователю о приостановлении и его причине по Почте ученика. Пользователь вправе представить объяснения. Если нарушение не подтвердилось, доступ восстанавливается, а Срок доступа продлевается на период приостановления.</w:t>
      </w:r>
    </w:p>
    <w:p>
      <w:r>
        <w:t xml:space="preserve">9.4. </w:t>
      </w:r>
      <w:r>
        <w:t xml:space="preserve">Договор прекращается по истечении Срока доступа, по соглашению Сторон, при отказе Лицензиата от Договора (раздел 10), при удалении Учётной записи по запросу (пункт 6.4), а также по иным основаниям и в порядке, предусмотренным законом, в том числе при существенном нарушении Договора (статьи 450, 450.1 ГК РФ).</w:t>
      </w:r>
    </w:p>
    <w:p>
      <w:r>
        <w:t xml:space="preserve">9.5. </w:t>
      </w:r>
      <w:r>
        <w:t xml:space="preserve">Если Оператор прекращает работу Сервиса до истечения оплаченного Срока доступа, он уведомляет Пользователей не позднее чем за 30 дней на Сайте и по Почте ученика, а Лицензиатов — по Почте для чека, и возвращает часть вознаграждения, пропорциональную неистекшему Сроку доступа (пункт 10.8).</w:t>
      </w:r>
    </w:p>
    <w:p>
      <w:r>
        <w:t xml:space="preserve">9.6. </w:t>
      </w:r>
      <w:r>
        <w:t xml:space="preserve">Прекращение Договора не освобождает Стороны от ответственности за нарушения, допущенные в период его действия.</w:t>
      </w:r>
    </w:p>
    <w:p>
      <w:pPr>
        <w:pStyle w:val="Heading2"/>
      </w:pPr>
      <w:r>
        <w:t xml:space="preserve">10. Возврат денежных средств</w:t>
      </w:r>
    </w:p>
    <w:p>
      <w:r>
        <w:t xml:space="preserve">10.1. </w:t>
      </w:r>
      <w:r>
        <w:t xml:space="preserve">Лицензиат (лицо, оплатившее доступ, например родитель) вправе в любое время отказаться от Договора и получить возврат вознаграждения в порядке, указанном в настоящем разделе. Сумма возврата рассчитывается отдельно по каждому платежу.</w:t>
      </w:r>
    </w:p>
    <w:p>
      <w:r>
        <w:t xml:space="preserve">10.2. </w:t>
      </w:r>
      <w:r>
        <w:t xml:space="preserve">Если Пользователь ещё не входил в Сервис по оплаченному доступу, то есть не открывал Приложение через Учётную запись после начала Срока доступа, оплаченного этим платежом (в том числе если этот Срок доступа ещё не начался, пункт 4.7), возвращается вся уплаченная сумма без удержания комиссии. Оператор проверяет это по данным своего сервера о работе Приложения в Учётной записи; эти сведения сохраняются в записи о платеже и после удаления Учётной записи.</w:t>
      </w:r>
    </w:p>
    <w:p>
      <w:r>
        <w:t xml:space="preserve">10.3. </w:t>
      </w:r>
      <w:r>
        <w:t xml:space="preserve">В остальных случаях возвращается уплаченная сумма за вычетом:</w:t>
      </w:r>
    </w:p>
    <w:p>
      <w:pPr>
        <w:spacing w:after="0"/>
        <w:ind w:left="425" w:hanging="425"/>
        <w:jc w:val="both"/>
      </w:pPr>
      <w:r>
        <w:t xml:space="preserve">а) стоимости использованных дней по цене оплаченного Тарифа: цена Тарифа × число использованных дней ÷ число дней Тарифа (на дату настоящей редакции — около 161,29 ₽ за день по Тарифу «Месяц», 108,70 ₽ — по Тарифу «3 месяца», 90,91 ₽ — по Тарифу «9 месяцев»); стоимость округляется до копейки;</w:t>
      </w:r>
    </w:p>
    <w:p>
      <w:pPr>
        <w:spacing w:after="0"/>
        <w:ind w:left="425" w:hanging="425"/>
        <w:jc w:val="both"/>
      </w:pPr>
      <w:r>
        <w:t xml:space="preserve">б) комиссии Платёжного сервиса за приём этого платежа и (или) его возврат, если она фактически удержана с Оператора, не возвращается ему и подтверждена документами Платёжного сервиса.</w:t>
      </w:r>
    </w:p>
    <w:p>
      <w:r>
        <w:t xml:space="preserve">Если результат меньше нуля, сумма к возврату равна нулю. Вместе с ответом на заявление Оператор сообщает расчёт суммы возврата, в том числе размер удержанной комиссии.</w:t>
      </w:r>
    </w:p>
    <w:p>
      <w:r>
        <w:t xml:space="preserve">10.4. </w:t>
      </w:r>
      <w:r>
        <w:t xml:space="preserve">Число использованных дней — количество календарных дней с начала Срока доступа, оплаченного этим платежом, по день получения заявления о возврате включительно (по московскому времени), а если Учётная запись удалена до получения заявления, — по день удаления включительно, независимо от того, занимался ли Пользователь в эти дни; каждый начатый день считается полным, поэтому первый день Срока доступа (при оплате без действующего доступа или во время Пробного доступа — день оплаты) считается использованным. Дни, на которые Оператор продлил Срок доступа (пункты 3.5.3, 8.7 и 9.3), на расчёт не влияют: дни считаются от начала периода, оплаченного этим платежом.</w:t>
      </w:r>
    </w:p>
    <w:p>
      <w:r>
        <w:t xml:space="preserve">10.5. </w:t>
      </w:r>
      <w:r>
        <w:t xml:space="preserve">Цена одного дня по Тарифам «3 месяца» и «9 месяцев» ниже, чем по Тарифу «Месяц», — это скидка за оплату длительного срока вперёд. При досрочном отказе от Договора скидка сохраняется: использованные дни оплачиваются по цене оплаченного Тарифа, без пересчёта по цене Тарифа «Месяц».</w:t>
      </w:r>
    </w:p>
    <w:p>
      <w:r>
        <w:t xml:space="preserve">10.6. </w:t>
      </w:r>
      <w:r>
        <w:t xml:space="preserve">Примеры расчёта (в случаях пункта 10.3 — без учёта комиссии Платёжного сервиса; если она удержана, сумма к возврату уменьшается на её размер):</w:t>
      </w:r>
    </w:p>
    <w:p>
      <w:pPr>
        <w:tabs>
          <w:tab w:val="left" w:pos="454"/>
        </w:tabs>
        <w:spacing w:after="0"/>
        <w:ind w:left="454" w:hanging="454"/>
        <w:jc w:val="both"/>
      </w:pPr>
      <w:r>
        <w:t xml:space="preserve">—</w:t>
      </w:r>
      <w:r>
        <w:tab/>
      </w:r>
      <w:r>
        <w:t xml:space="preserve">оплачен Тариф «3 месяца» за 10 000 ₽, Пользователь ещё не входил в Приложение — возвращается 10 000 ₽ полностью (пункт 10.2);</w:t>
      </w:r>
    </w:p>
    <w:p>
      <w:pPr>
        <w:tabs>
          <w:tab w:val="left" w:pos="454"/>
        </w:tabs>
        <w:spacing w:after="0"/>
        <w:ind w:left="454" w:hanging="454"/>
        <w:jc w:val="both"/>
      </w:pPr>
      <w:r>
        <w:t xml:space="preserve">—</w:t>
      </w:r>
      <w:r>
        <w:tab/>
      </w:r>
      <w:r>
        <w:t xml:space="preserve">оплачен Тариф «Месяц» за 5 000 ₽, заявление получено на 10-й день: стоимость использованных дней 5 000 × 10 ÷ 31 = 1 612,90 ₽, к возврату 5 000 − 1 612,90 = 3 387,10 ₽;</w:t>
      </w:r>
    </w:p>
    <w:p>
      <w:pPr>
        <w:tabs>
          <w:tab w:val="left" w:pos="454"/>
        </w:tabs>
        <w:spacing w:after="0"/>
        <w:ind w:left="454" w:hanging="454"/>
        <w:jc w:val="both"/>
      </w:pPr>
      <w:r>
        <w:t xml:space="preserve">—</w:t>
      </w:r>
      <w:r>
        <w:tab/>
      </w:r>
      <w:r>
        <w:t xml:space="preserve">оплачен Тариф «3 месяца» за 10 000 ₽, заявление получено на 40-й день: 10 000 × 40 ÷ 92 = 4 347,83 ₽, к возврату 10 000 − 4 347,83 = 5 652,17 ₽;</w:t>
      </w:r>
    </w:p>
    <w:p>
      <w:pPr>
        <w:tabs>
          <w:tab w:val="left" w:pos="454"/>
        </w:tabs>
        <w:spacing w:after="0"/>
        <w:ind w:left="454" w:hanging="454"/>
        <w:jc w:val="both"/>
      </w:pPr>
      <w:r>
        <w:t xml:space="preserve">—</w:t>
      </w:r>
      <w:r>
        <w:tab/>
      </w:r>
      <w:r>
        <w:t xml:space="preserve">оплачен Тариф «9 месяцев» за 25 000 ₽, заявление получено на 62-й день: 25 000 × 62 ÷ 275 = 5 636,36 ₽, к возврату 25 000 − 5 636,36 = 19 363,64 ₽.</w:t>
      </w:r>
    </w:p>
    <w:p>
      <w:r>
        <w:t xml:space="preserve">Проще говоря, сумма к возврату уменьшается равномерно, день за днём, и становится равной нулю в последний день Срока доступа. По Тарифу «9 месяцев» за 25 000 ₽ к возврату: заявление на 31-й день — 22 181,82 ₽, на 62-й — 19 363,64 ₽, на 93-й — 16 545,45 ₽.</w:t>
      </w:r>
    </w:p>
    <w:p>
      <w:r>
        <w:t xml:space="preserve">10.7. </w:t>
      </w:r>
      <w:r>
        <w:t xml:space="preserve">При ненадлежащем исполнении Оператором своих обязательств Лицензиат вправе вместо возврата по пунктам 10.2–10.4 предъявить требования, предусмотренные законом, в том числе Законом о защите прав потребителей.</w:t>
      </w:r>
    </w:p>
    <w:p>
      <w:r>
        <w:t xml:space="preserve">10.8. </w:t>
      </w:r>
      <w:r>
        <w:t xml:space="preserve">При прекращении работы Сервиса (пункт 9.5) возвращается часть вознаграждения, пропорциональная неистекшему Сроку доступа по цене оплаченного Тарифа, без удержания комиссии Платёжного сервиса.</w:t>
      </w:r>
    </w:p>
    <w:p>
      <w:r>
        <w:t xml:space="preserve">10.9. </w:t>
      </w:r>
      <w:r>
        <w:t xml:space="preserve">Заявление о возврате направляется на электронную почту kdmd100@mail.ru с Почты ученика или с Почты для чека, указанных при оплате, и должно содержать дату и сумму платежа. Если заявление направлено с другого адреса, Оператор вправе запросить сведения, подтверждающие связь заявителя с платежом.</w:t>
      </w:r>
    </w:p>
    <w:p>
      <w:r>
        <w:t xml:space="preserve">10.10. </w:t>
      </w:r>
      <w:r>
        <w:t xml:space="preserve">Возврат производится в течение 10 (десяти) дней со дня получения заявления плательщику тем же способом, которым была произведена оплата, через Платёжный сервис. С момента оформления возврата Срок доступа, оплаченный этим платежом, прекращается; Учётная запись и Учебные данные, если Учётная запись не удалена, сохраняются (пункт 9.2). Оператор корректирует ранее сформированный чек в порядке, установленном Законом № 422-ФЗ.</w:t>
      </w:r>
    </w:p>
    <w:p>
      <w:r>
        <w:t xml:space="preserve">10.11. </w:t>
      </w:r>
      <w:r>
        <w:t xml:space="preserve">Пробный доступ и доступ, предоставленный Оператором безвозмездно через Службу поддержки, оплаты не требуют, поэтому положения настоящего раздела к ним не применяются.</w:t>
      </w:r>
    </w:p>
    <w:p>
      <w:pPr>
        <w:pStyle w:val="Heading2"/>
      </w:pPr>
      <w:r>
        <w:t xml:space="preserve">11. Персональные данные и письма</w:t>
      </w:r>
    </w:p>
    <w:p>
      <w:r>
        <w:t xml:space="preserve">11.1. </w:t>
      </w:r>
      <w:r>
        <w:t xml:space="preserve">Персональные данные обрабатываются в соответствии с Законом № 152-ФЗ и Политикой. Персональные данные, необходимые для заключения и исполнения Договора, стороной или выгодоприобретателем по которому является субъект персональных данных, обрабатываются на основании пункта 5 части 1 статьи 6 Закона № 152-ФЗ без получения отдельного согласия.</w:t>
      </w:r>
    </w:p>
    <w:p>
      <w:r>
        <w:t xml:space="preserve">11.2. </w:t>
      </w:r>
      <w:r>
        <w:t xml:space="preserve">Согласие применяется только в случаях, когда основанием обработки является согласие субъекта или его Законного представителя, — они перечислены в самом Согласии. При входе в Приложение Согласие не запрашивается.</w:t>
      </w:r>
    </w:p>
    <w:p>
      <w:r>
        <w:t xml:space="preserve">11.3. </w:t>
      </w:r>
      <w:r>
        <w:t xml:space="preserve">Учебные данные сохраняются в браузере на Устройстве и передаются на сервер Оператора, расположенный в Российской Федерации, где хранятся в Учётной записи. Цель — общий прогресс на привязанных Устройствах: сделанное на одном Устройстве доступно на другом. Учебные данные хранятся в течение Срока доступа и 3 (трёх) лет после его окончания, после чего уничтожаются; раньше этого срока они удаляются вместе с Учётной записью по запросу Пользователя или его Законного представителя (пункт 6.4). Сброс прогресса в Приложении стирает результаты занятий — ответы на задания и самооценку, состояние тем, сведения о занятиях, пробные варианты и карточки повторения, а также рассчитанные показатели обучения и параметры подбора плана; анкета, заметки, расписание недели, настройки и сведения о работе с теорией и подсказками при этом сохраняются. Резервную копию Оператор получает, только если Пользователь сам её направит (например, при обращении в Службу поддержки).</w:t>
      </w:r>
    </w:p>
    <w:p>
      <w:r>
        <w:t xml:space="preserve">11.4. </w:t>
      </w:r>
      <w:r>
        <w:t xml:space="preserve">Оператор получает и хранит на сервере: Почту ученика, Служебный номер, Коды входа (только в хэшированном виде), Идентификаторы устройств, IP-адрес, сведения о браузере (user-agent), время входа и принятия Документов, редакции Документов, Учебные данные, технические журналы веб-сервера; при оплате — Почту для чека, Тариф, номер заказа, идентификатор платежа в Платёжном сервисе, сумму, дату и время платежа. Сроки и условия обработки определены Политикой.</w:t>
      </w:r>
    </w:p>
    <w:p>
      <w:r>
        <w:t xml:space="preserve">11.5. </w:t>
      </w:r>
      <w:r>
        <w:t xml:space="preserve">Оператор не использует рекламные и аналитические трекеры (в том числе Google Analytics и Яндекс Метрику). На Сайте и в Приложении применяется только техническая cookie сессии с атрибутом HttpOnly и локальное хранилище браузера.</w:t>
      </w:r>
    </w:p>
    <w:p>
      <w:r>
        <w:t xml:space="preserve">11.6. </w:t>
      </w:r>
      <w:r>
        <w:t xml:space="preserve">Оператор направляет на Почту ученика сервисные письма, необходимые для исполнения Договора: Коды входа, письма об открытии доступа, о скором окончании и об окончании Срока доступа, а на Почту для чека — чеки. Письма отправляются через российский почтовый сервис Почта Mail (ООО «ВК»). Рекламные и информационные рассылки без отдельного согласия получателя не направляются.</w:t>
      </w:r>
    </w:p>
    <w:p>
      <w:pPr>
        <w:pStyle w:val="Heading2"/>
      </w:pPr>
      <w:r>
        <w:t xml:space="preserve">12. Претензии и разрешение споров</w:t>
      </w:r>
    </w:p>
    <w:p>
      <w:r>
        <w:t xml:space="preserve">12.1. </w:t>
      </w:r>
      <w:r>
        <w:t xml:space="preserve">К Договору применяется право Российской Федерации.</w:t>
      </w:r>
    </w:p>
    <w:p>
      <w:r>
        <w:t xml:space="preserve">12.2. </w:t>
      </w:r>
      <w:r>
        <w:t xml:space="preserve">Претензии направляются Оператору на электронную почту kdmd100@mail.ru или в Telegram @cbaombp. Адрес для направления корреспонденции почтой сообщается по запросу на электронную почту kdmd100@mail.ru. Претензия должна содержать способ связи с заявителем, Почту ученика либо данные платежа (дату, сумму, Почту для чека), существо требований и обстоятельства, на которых они основаны.</w:t>
      </w:r>
    </w:p>
    <w:p>
      <w:r>
        <w:t xml:space="preserve">12.3. </w:t>
      </w:r>
      <w:r>
        <w:t xml:space="preserve">Оператор рассматривает претензию и направляет ответ в течение 10 (десяти) рабочих дней со дня её получения, если законом не установлен более короткий срок.</w:t>
      </w:r>
    </w:p>
    <w:p>
      <w:r>
        <w:t xml:space="preserve">12.4. </w:t>
      </w:r>
      <w:r>
        <w:t xml:space="preserve">Стороны стремятся урегулировать разногласия путём переговоров. Для Лицензиата-потребителя направление претензии не является обязательным условием обращения в суд.</w:t>
      </w:r>
    </w:p>
    <w:p>
      <w:r>
        <w:t xml:space="preserve">12.5. </w:t>
      </w:r>
      <w:r>
        <w:t xml:space="preserve">Споры рассматриваются в суде по месту жительства Оператора, если иное не установлено законом. Потребитель вправе предъявить иск по правилам статьи 17 Закона о защите прав потребителей и пункта 7 статьи 29 Гражданского процессуального кодекса РФ.</w:t>
      </w:r>
    </w:p>
    <w:p>
      <w:r>
        <w:t xml:space="preserve">12.6. </w:t>
      </w:r>
      <w:r>
        <w:t xml:space="preserve">Уведомления и сообщения направляются Оператором на Почту ученика и (или) Почту для чека либо по контактам, с которых поступило обращение; уведомления, адресованные неопределённому кругу Пользователей, — путём публикации на Сайте или в Приложении.</w:t>
      </w:r>
    </w:p>
    <w:p>
      <w:r>
        <w:t xml:space="preserve">12.7. </w:t>
      </w:r>
      <w:r>
        <w:t xml:space="preserve">Недействительность отдельного условия Оферты не влечёт недействительности остальных её условий (статья 180 ГК РФ).</w:t>
      </w:r>
    </w:p>
    <w:p>
      <w:pPr>
        <w:pStyle w:val="Heading2"/>
      </w:pPr>
      <w:r>
        <w:t xml:space="preserve">13. Изменение Оферты и прочие условия</w:t>
      </w:r>
    </w:p>
    <w:p>
      <w:r>
        <w:t xml:space="preserve">13.1. </w:t>
      </w:r>
      <w:r>
        <w:t xml:space="preserve">Оператор вправе изменять Оферту и иные Документы, публикуя новую редакцию в разделе «Документы» Сайта с указанием даты редакции. Сведения о действующих редакциях Документов публикуются там же (файл versions.json).</w:t>
      </w:r>
    </w:p>
    <w:p>
      <w:r>
        <w:t xml:space="preserve">13.2. </w:t>
      </w:r>
      <w:r>
        <w:t xml:space="preserve">Уведомление о новой редакции размещается на Сайте и (или) в Приложении (при следующем открытии Приложения) не позднее даты вступления новой редакции в силу.</w:t>
      </w:r>
    </w:p>
    <w:p>
      <w:r>
        <w:t xml:space="preserve">13.3. </w:t>
      </w:r>
      <w:r>
        <w:t xml:space="preserve">Новая редакция действует с даты публикации и применяется к акцептам, совершённым после этой даты. Для Договоров, заключённых ранее, до окончания оплаченного Срока доступа продолжает действовать редакция, принятая Лицензиатом, за исключением случаев, когда Пользователь принял новую редакцию (в том числе отметкой в Приложении), изменения улучшают положение Пользователя либо их применение обязательно в силу закона.</w:t>
      </w:r>
    </w:p>
    <w:p>
      <w:r>
        <w:t xml:space="preserve">13.4. </w:t>
      </w:r>
      <w:r>
        <w:t xml:space="preserve">Оператор вправе отозвать Оферту в любое время. Отзыв не влияет на Договоры, заключённые до него.</w:t>
      </w:r>
    </w:p>
    <w:p>
      <w:r>
        <w:t xml:space="preserve">13.5. </w:t>
      </w:r>
      <w:r>
        <w:t xml:space="preserve">Предыдущие редакции Документов хранятся Оператором и предоставляются Пользователю по запросу.</w:t>
      </w:r>
    </w:p>
    <w:p>
      <w:r>
        <w:t xml:space="preserve">13.6. </w:t>
      </w:r>
      <w:r>
        <w:t xml:space="preserve">Во всём, что не урегулировано Офертой, Стороны руководствуются Пользовательским соглашением и законодательством Российской Федерации. При противоречии между Офертой и Пользовательским соглашением в отношении платного доступа и Пробного доступа применяется Оферта.</w:t>
      </w:r>
    </w:p>
    <w:p>
      <w:r>
        <w:t xml:space="preserve">13.7. </w:t>
      </w:r>
      <w:r>
        <w:t xml:space="preserve">При переходе Оператора на иной налоговый режим или регистрации его в качестве индивидуального предпринимателя Оператор публикует новую редакцию Документов с актуальными реквизитами; ранее заключённые Договоры продолжают действовать.</w:t>
      </w:r>
    </w:p>
    <w:p>
      <w:pPr>
        <w:pStyle w:val="Heading2"/>
      </w:pPr>
      <w:r>
        <w:t xml:space="preserve">14. Реквизиты Оператора</w:t>
      </w:r>
    </w:p>
    <w:tbl>
      <w:tblPr>
        <w:tblStyle w:val="TableGri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Pr>
      <w:tblGrid>
        <w:gridCol w:w="2806"/>
        <w:gridCol w:w="6549"/>
      </w:tblGrid>
      <w:tr>
        <w:tc>
          <w:tcPr>
            <w:tcW w:w="2806" w:type="dxa"/>
            <w:shd w:val="clear" w:color="auto" w:fill="F2F2F2"/>
          </w:tcPr>
          <w:p>
            <w:pPr>
              <w:spacing w:after="40" w:line="240" w:lineRule="auto"/>
              <w:jc w:val="left"/>
              <w:rPr>
                <w:sz w:val="20"/>
                <w:szCs w:val="20"/>
              </w:rPr>
            </w:pPr>
            <w:r>
              <w:rPr>
                <w:b/>
                <w:bCs/>
                <w:sz w:val="20"/>
                <w:szCs w:val="20"/>
              </w:rPr>
              <w:t xml:space="preserve">Оператор</w:t>
            </w:r>
          </w:p>
        </w:tc>
        <w:tc>
          <w:tcPr>
            <w:tcW w:w="6549" w:type="dxa"/>
          </w:tcPr>
          <w:p>
            <w:pPr>
              <w:spacing w:after="40" w:line="240" w:lineRule="auto"/>
              <w:jc w:val="left"/>
              <w:rPr>
                <w:sz w:val="20"/>
                <w:szCs w:val="20"/>
              </w:rPr>
            </w:pPr>
            <w:r>
              <w:rPr>
                <w:sz w:val="20"/>
                <w:szCs w:val="20"/>
              </w:rPr>
              <w:t xml:space="preserve">Кульбачный Дмитрий Максимович</w:t>
            </w:r>
          </w:p>
        </w:tc>
      </w:tr>
      <w:tr>
        <w:tc>
          <w:tcPr>
            <w:tcW w:w="2806" w:type="dxa"/>
            <w:shd w:val="clear" w:color="auto" w:fill="F2F2F2"/>
          </w:tcPr>
          <w:p>
            <w:pPr>
              <w:spacing w:after="40" w:line="240" w:lineRule="auto"/>
              <w:jc w:val="left"/>
              <w:rPr>
                <w:sz w:val="20"/>
                <w:szCs w:val="20"/>
              </w:rPr>
            </w:pPr>
            <w:r>
              <w:rPr>
                <w:b/>
                <w:bCs/>
                <w:sz w:val="20"/>
                <w:szCs w:val="20"/>
              </w:rPr>
              <w:t xml:space="preserve">Статус</w:t>
            </w:r>
          </w:p>
        </w:tc>
        <w:tc>
          <w:tcPr>
            <w:tcW w:w="6549" w:type="dxa"/>
          </w:tcPr>
          <w:p>
            <w:pPr>
              <w:spacing w:after="40" w:line="240" w:lineRule="auto"/>
              <w:jc w:val="left"/>
              <w:rPr>
                <w:sz w:val="20"/>
                <w:szCs w:val="20"/>
              </w:rPr>
            </w:pPr>
            <w:r>
              <w:rPr>
                <w:sz w:val="20"/>
                <w:szCs w:val="20"/>
              </w:rPr>
              <w:t xml:space="preserve">физическое лицо — плательщик налога на профессиональный доход (Федеральный закон от 27.11.2018 № 422-ФЗ)</w:t>
            </w:r>
          </w:p>
        </w:tc>
      </w:tr>
      <w:tr>
        <w:tc>
          <w:tcPr>
            <w:tcW w:w="2806" w:type="dxa"/>
            <w:shd w:val="clear" w:color="auto" w:fill="F2F2F2"/>
          </w:tcPr>
          <w:p>
            <w:pPr>
              <w:spacing w:after="40" w:line="240" w:lineRule="auto"/>
              <w:jc w:val="left"/>
              <w:rPr>
                <w:sz w:val="20"/>
                <w:szCs w:val="20"/>
              </w:rPr>
            </w:pPr>
            <w:r>
              <w:rPr>
                <w:b/>
                <w:bCs/>
                <w:sz w:val="20"/>
                <w:szCs w:val="20"/>
              </w:rPr>
              <w:t xml:space="preserve">ИНН</w:t>
            </w:r>
          </w:p>
        </w:tc>
        <w:tc>
          <w:tcPr>
            <w:tcW w:w="6549" w:type="dxa"/>
          </w:tcPr>
          <w:p>
            <w:pPr>
              <w:spacing w:after="40" w:line="240" w:lineRule="auto"/>
              <w:jc w:val="left"/>
              <w:rPr>
                <w:sz w:val="20"/>
                <w:szCs w:val="20"/>
              </w:rPr>
            </w:pPr>
            <w:r>
              <w:rPr>
                <w:sz w:val="20"/>
                <w:szCs w:val="20"/>
              </w:rPr>
              <w:t xml:space="preserve">781460245682</w:t>
            </w:r>
          </w:p>
        </w:tc>
      </w:tr>
      <w:tr>
        <w:tc>
          <w:tcPr>
            <w:tcW w:w="2806" w:type="dxa"/>
            <w:shd w:val="clear" w:color="auto" w:fill="F2F2F2"/>
          </w:tcPr>
          <w:p>
            <w:pPr>
              <w:spacing w:after="40" w:line="240" w:lineRule="auto"/>
              <w:jc w:val="left"/>
              <w:rPr>
                <w:sz w:val="20"/>
                <w:szCs w:val="20"/>
              </w:rPr>
            </w:pPr>
            <w:r>
              <w:rPr>
                <w:b/>
                <w:bCs/>
                <w:sz w:val="20"/>
                <w:szCs w:val="20"/>
              </w:rPr>
              <w:t xml:space="preserve">Адрес для корреспонденции</w:t>
            </w:r>
          </w:p>
        </w:tc>
        <w:tc>
          <w:tcPr>
            <w:tcW w:w="6549" w:type="dxa"/>
          </w:tcPr>
          <w:p>
            <w:pPr>
              <w:spacing w:after="40" w:line="240" w:lineRule="auto"/>
              <w:jc w:val="left"/>
              <w:rPr>
                <w:sz w:val="20"/>
                <w:szCs w:val="20"/>
              </w:rPr>
            </w:pPr>
            <w:r>
              <w:rPr>
                <w:sz w:val="20"/>
                <w:szCs w:val="20"/>
              </w:rPr>
              <w:t xml:space="preserve">сообщается по запросу на электронную почту kdmd100@mail.ru</w:t>
            </w:r>
          </w:p>
        </w:tc>
      </w:tr>
      <w:tr>
        <w:tc>
          <w:tcPr>
            <w:tcW w:w="2806" w:type="dxa"/>
            <w:shd w:val="clear" w:color="auto" w:fill="F2F2F2"/>
          </w:tcPr>
          <w:p>
            <w:pPr>
              <w:spacing w:after="40" w:line="240" w:lineRule="auto"/>
              <w:jc w:val="left"/>
              <w:rPr>
                <w:sz w:val="20"/>
                <w:szCs w:val="20"/>
              </w:rPr>
            </w:pPr>
            <w:r>
              <w:rPr>
                <w:b/>
                <w:bCs/>
                <w:sz w:val="20"/>
                <w:szCs w:val="20"/>
              </w:rPr>
              <w:t xml:space="preserve">Электронная почта</w:t>
            </w:r>
          </w:p>
        </w:tc>
        <w:tc>
          <w:tcPr>
            <w:tcW w:w="6549" w:type="dxa"/>
          </w:tcPr>
          <w:p>
            <w:pPr>
              <w:spacing w:after="40" w:line="240" w:lineRule="auto"/>
              <w:jc w:val="left"/>
              <w:rPr>
                <w:sz w:val="20"/>
                <w:szCs w:val="20"/>
              </w:rPr>
            </w:pPr>
            <w:r>
              <w:rPr>
                <w:sz w:val="20"/>
                <w:szCs w:val="20"/>
              </w:rPr>
              <w:t xml:space="preserve">kdmd100@mail.ru</w:t>
            </w:r>
          </w:p>
        </w:tc>
      </w:tr>
      <w:tr>
        <w:tc>
          <w:tcPr>
            <w:tcW w:w="2806" w:type="dxa"/>
            <w:shd w:val="clear" w:color="auto" w:fill="F2F2F2"/>
          </w:tcPr>
          <w:p>
            <w:pPr>
              <w:spacing w:after="40" w:line="240" w:lineRule="auto"/>
              <w:jc w:val="left"/>
              <w:rPr>
                <w:sz w:val="20"/>
                <w:szCs w:val="20"/>
              </w:rPr>
            </w:pPr>
            <w:r>
              <w:rPr>
                <w:b/>
                <w:bCs/>
                <w:sz w:val="20"/>
                <w:szCs w:val="20"/>
              </w:rPr>
              <w:t xml:space="preserve">Телефон</w:t>
            </w:r>
          </w:p>
        </w:tc>
        <w:tc>
          <w:tcPr>
            <w:tcW w:w="6549" w:type="dxa"/>
          </w:tcPr>
          <w:p>
            <w:pPr>
              <w:spacing w:after="40" w:line="240" w:lineRule="auto"/>
              <w:jc w:val="left"/>
              <w:rPr>
                <w:sz w:val="20"/>
                <w:szCs w:val="20"/>
              </w:rPr>
            </w:pPr>
            <w:r>
              <w:rPr>
                <w:sz w:val="20"/>
                <w:szCs w:val="20"/>
              </w:rPr>
              <w:t xml:space="preserve">+7 968 194-94-91</w:t>
            </w:r>
          </w:p>
        </w:tc>
      </w:tr>
      <w:tr>
        <w:tc>
          <w:tcPr>
            <w:tcW w:w="2806" w:type="dxa"/>
            <w:shd w:val="clear" w:color="auto" w:fill="F2F2F2"/>
          </w:tcPr>
          <w:p>
            <w:pPr>
              <w:spacing w:after="40" w:line="240" w:lineRule="auto"/>
              <w:jc w:val="left"/>
              <w:rPr>
                <w:sz w:val="20"/>
                <w:szCs w:val="20"/>
              </w:rPr>
            </w:pPr>
            <w:r>
              <w:rPr>
                <w:b/>
                <w:bCs/>
                <w:sz w:val="20"/>
                <w:szCs w:val="20"/>
              </w:rPr>
              <w:t xml:space="preserve">Поддержка в Telegram</w:t>
            </w:r>
          </w:p>
        </w:tc>
        <w:tc>
          <w:tcPr>
            <w:tcW w:w="6549" w:type="dxa"/>
          </w:tcPr>
          <w:p>
            <w:pPr>
              <w:spacing w:after="40" w:line="240" w:lineRule="auto"/>
              <w:jc w:val="left"/>
              <w:rPr>
                <w:sz w:val="20"/>
                <w:szCs w:val="20"/>
              </w:rPr>
            </w:pPr>
            <w:r>
              <w:rPr>
                <w:sz w:val="20"/>
                <w:szCs w:val="20"/>
              </w:rPr>
              <w:t xml:space="preserve">@cbaombp</w:t>
            </w:r>
          </w:p>
        </w:tc>
      </w:tr>
      <w:tr>
        <w:tc>
          <w:tcPr>
            <w:tcW w:w="2806" w:type="dxa"/>
            <w:shd w:val="clear" w:color="auto" w:fill="F2F2F2"/>
          </w:tcPr>
          <w:p>
            <w:pPr>
              <w:spacing w:after="40" w:line="240" w:lineRule="auto"/>
              <w:jc w:val="left"/>
              <w:rPr>
                <w:sz w:val="20"/>
                <w:szCs w:val="20"/>
              </w:rPr>
            </w:pPr>
            <w:r>
              <w:rPr>
                <w:b/>
                <w:bCs/>
                <w:sz w:val="20"/>
                <w:szCs w:val="20"/>
              </w:rPr>
              <w:t xml:space="preserve">Сайт</w:t>
            </w:r>
          </w:p>
        </w:tc>
        <w:tc>
          <w:tcPr>
            <w:tcW w:w="6549" w:type="dxa"/>
          </w:tcPr>
          <w:p>
            <w:pPr>
              <w:spacing w:after="40" w:line="240" w:lineRule="auto"/>
              <w:jc w:val="left"/>
              <w:rPr>
                <w:sz w:val="20"/>
                <w:szCs w:val="20"/>
              </w:rPr>
            </w:pPr>
            <w:r>
              <w:rPr>
                <w:sz w:val="20"/>
                <w:szCs w:val="20"/>
              </w:rPr>
              <w:t xml:space="preserve">https://dot100.ru/</w:t>
            </w:r>
          </w:p>
        </w:tc>
      </w:tr>
      <w:tr>
        <w:tc>
          <w:tcPr>
            <w:tcW w:w="2806" w:type="dxa"/>
            <w:shd w:val="clear" w:color="auto" w:fill="F2F2F2"/>
          </w:tcPr>
          <w:p>
            <w:pPr>
              <w:spacing w:after="40" w:line="240" w:lineRule="auto"/>
              <w:jc w:val="left"/>
              <w:rPr>
                <w:sz w:val="20"/>
                <w:szCs w:val="20"/>
              </w:rPr>
            </w:pPr>
            <w:r>
              <w:rPr>
                <w:b/>
                <w:bCs/>
                <w:sz w:val="20"/>
                <w:szCs w:val="20"/>
              </w:rPr>
              <w:t xml:space="preserve">Размещение серверов</w:t>
            </w:r>
          </w:p>
        </w:tc>
        <w:tc>
          <w:tcPr>
            <w:tcW w:w="6549" w:type="dxa"/>
          </w:tcPr>
          <w:p>
            <w:pPr>
              <w:spacing w:after="40" w:line="240" w:lineRule="auto"/>
              <w:jc w:val="left"/>
              <w:rPr>
                <w:sz w:val="20"/>
                <w:szCs w:val="20"/>
              </w:rPr>
            </w:pPr>
            <w:r>
              <w:rPr>
                <w:sz w:val="20"/>
                <w:szCs w:val="20"/>
              </w:rPr>
              <w:t xml:space="preserve">АО «Селектел» (ИНН 7810962785), Российская Федерация</w:t>
            </w:r>
          </w:p>
        </w:tc>
      </w:tr>
    </w:tbl>
    <w:p/>
    <w:sectPr>
      <w:footerReference w:type="default" r:id="rId2"/>
      <w:pgSz w:w="11906" w:h="16838"/>
      <w:pgMar w:top="1134" w:right="850" w:bottom="1134" w:left="1701" w:header="567" w:footer="567" w:gutter="0"/>
      <w:cols w:space="708"/>
    </w:sectPr>
  </w:body>
</w:document>
</file>

<file path=word/footer1.xml><?xml version="1.0" encoding="utf-8"?>
<w:ftr xmlns:w="http://schemas.openxmlformats.org/wordprocessingml/2006/main" xmlns:r="http://schemas.openxmlformats.org/officeDocument/2006/relationships">
  <w:p>
    <w:pPr>
      <w:spacing w:after="0"/>
      <w:jc w:val="center"/>
    </w:pPr>
    <w:r>
      <w:rPr>
        <w:sz w:val="18"/>
        <w:szCs w:val="18"/>
      </w:rPr>
      <w:t xml:space="preserve">Точка 100 — Публичная оферта · стр. </w:t>
    </w:r>
    <w:fldSimple w:instr=" PAGE ">
      <w:r>
        <w:rPr>
          <w:sz w:val="18"/>
          <w:szCs w:val="18"/>
        </w:rPr>
        <w:t>1</w:t>
      </w:r>
    </w:fldSimple>
    <w:r>
      <w:rPr>
        <w:sz w:val="18"/>
        <w:szCs w:val="18"/>
      </w:rPr>
      <w:t xml:space="preserve"> из </w:t>
    </w:r>
    <w:fldSimple w:instr=" NUMPAGES ">
      <w:r>
        <w:rPr>
          <w:sz w:val="18"/>
          <w:szCs w:val="18"/>
        </w:rPr>
        <w:t>1</w:t>
      </w:r>
    </w:fldSimple>
  </w:p>
</w:ftr>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ru-RU" w:eastAsia="ru-RU" w:bidi="ar-SA"/>
      </w:rPr>
    </w:rPrDefault>
    <w:pPrDefault>
      <w:pPr>
        <w:spacing w:after="0" w:line="240" w:lineRule="auto"/>
      </w:pPr>
    </w:pPrDefault>
  </w:docDefault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0"/>
      <w:jc w:val="center"/>
      <w:outlineLvl w:val="0"/>
    </w:pPr>
    <w:rPr>
      <w:b/>
      <w:bCs/>
      <w:sz w:val="32"/>
      <w:szCs w:val="32"/>
    </w:rPr>
  </w:style>
  <w:style w:type="paragraph" w:styleId="Heading1">
    <w:name w:val="heading 1"/>
    <w:basedOn w:val="Normal"/>
    <w:next w:val="Normal"/>
    <w:uiPriority w:val="9"/>
    <w:qFormat/>
    <w:pPr>
      <w:keepNext/>
      <w:spacing w:before="120" w:after="0"/>
      <w:jc w:val="center"/>
      <w:outlineLvl w:val="0"/>
    </w:pPr>
    <w:rPr>
      <w:b/>
      <w:bCs/>
      <w:sz w:val="24"/>
      <w:szCs w:val="24"/>
    </w:rPr>
  </w:style>
  <w:style w:type="paragraph" w:styleId="Heading2">
    <w:name w:val="heading 2"/>
    <w:basedOn w:val="Normal"/>
    <w:next w:val="Normal"/>
    <w:uiPriority w:val="9"/>
    <w:unhideWhenUsed/>
    <w:qFormat/>
    <w:pPr>
      <w:keepNext/>
      <w:spacing w:before="120" w:after="0"/>
      <w:jc w:val="center"/>
      <w:outlineLvl w:val="1"/>
    </w:pPr>
    <w:rPr>
      <w:b/>
      <w:bCs/>
      <w:sz w:val="24"/>
      <w:szCs w:val="24"/>
    </w:rPr>
  </w:style>
  <w:style w:type="paragraph" w:styleId="Heading3">
    <w:name w:val="heading 3"/>
    <w:basedOn w:val="Normal"/>
    <w:next w:val="Normal"/>
    <w:uiPriority w:val="9"/>
    <w:unhideWhenUsed/>
    <w:qFormat/>
    <w:pPr>
      <w:keepNext/>
      <w:spacing w:before="60" w:after="0"/>
      <w:jc w:val="left"/>
      <w:outlineLvl w:val="2"/>
    </w:pPr>
    <w:rPr>
      <w:b/>
      <w:bCs/>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Точка 100 — Публичная оферта</dc:title>
  <dc:creator>Точка 100</dc:creator>
  <dc:language>ru-RU</dc:language>
  <dcterms:created xsi:type="dcterms:W3CDTF">2026-10-24T07:49:11Z</dcterms:created>
  <dcterms:modified xsi:type="dcterms:W3CDTF">2026-10-24T07:49:11Z</dcterms:modified>
</cp:coreProperties>
</file>